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F49" w:rsidRDefault="00932F49"/>
    <w:p w:rsidR="00932F49" w:rsidRDefault="00932F49"/>
    <w:tbl>
      <w:tblPr>
        <w:tblW w:w="9270" w:type="dxa"/>
        <w:jc w:val="center"/>
        <w:tblLook w:val="0000" w:firstRow="0" w:lastRow="0" w:firstColumn="0" w:lastColumn="0" w:noHBand="0" w:noVBand="0"/>
      </w:tblPr>
      <w:tblGrid>
        <w:gridCol w:w="9236"/>
        <w:gridCol w:w="222"/>
      </w:tblGrid>
      <w:tr w:rsidR="00333FAA" w:rsidTr="00932F49">
        <w:trPr>
          <w:jc w:val="center"/>
        </w:trPr>
        <w:tc>
          <w:tcPr>
            <w:tcW w:w="9048" w:type="dxa"/>
          </w:tcPr>
          <w:p w:rsidR="00932F49" w:rsidRDefault="00932F49"/>
          <w:tbl>
            <w:tblPr>
              <w:tblW w:w="9020" w:type="dxa"/>
              <w:tblLook w:val="0000" w:firstRow="0" w:lastRow="0" w:firstColumn="0" w:lastColumn="0" w:noHBand="0" w:noVBand="0"/>
            </w:tblPr>
            <w:tblGrid>
              <w:gridCol w:w="3587"/>
              <w:gridCol w:w="5433"/>
            </w:tblGrid>
            <w:tr w:rsidR="00932F49" w:rsidRPr="00CB78B3" w:rsidTr="00932F49">
              <w:trPr>
                <w:trHeight w:val="1734"/>
              </w:trPr>
              <w:tc>
                <w:tcPr>
                  <w:tcW w:w="3587" w:type="dxa"/>
                  <w:tcBorders>
                    <w:bottom w:val="single" w:sz="18" w:space="0" w:color="auto"/>
                  </w:tcBorders>
                </w:tcPr>
                <w:p w:rsidR="00932F49" w:rsidRPr="00CB78B3" w:rsidRDefault="00932F49" w:rsidP="00932F49">
                  <w:pPr>
                    <w:pStyle w:val="Infotext"/>
                    <w:rPr>
                      <w:rFonts w:ascii="Arial Black" w:hAnsi="Arial Black"/>
                      <w:color w:val="999999"/>
                      <w:sz w:val="36"/>
                      <w:szCs w:val="36"/>
                    </w:rPr>
                  </w:pPr>
                  <w:r w:rsidRPr="00CB78B3">
                    <w:rPr>
                      <w:rFonts w:ascii="Arial Black" w:hAnsi="Arial Black"/>
                      <w:color w:val="999999"/>
                      <w:sz w:val="36"/>
                      <w:szCs w:val="36"/>
                    </w:rPr>
                    <w:t>REPORT FOR:</w:t>
                  </w:r>
                </w:p>
                <w:p w:rsidR="00932F49" w:rsidRPr="00CB78B3" w:rsidRDefault="00932F49" w:rsidP="00932F49">
                  <w:pPr>
                    <w:pStyle w:val="Infotext"/>
                    <w:rPr>
                      <w:rFonts w:ascii="Arial Black" w:hAnsi="Arial Black" w:cs="Arial"/>
                      <w:sz w:val="36"/>
                      <w:szCs w:val="36"/>
                    </w:rPr>
                  </w:pPr>
                </w:p>
              </w:tc>
              <w:tc>
                <w:tcPr>
                  <w:tcW w:w="5433" w:type="dxa"/>
                  <w:tcBorders>
                    <w:bottom w:val="single" w:sz="18" w:space="0" w:color="auto"/>
                  </w:tcBorders>
                </w:tcPr>
                <w:p w:rsidR="00932F49" w:rsidRPr="00CB78B3" w:rsidRDefault="00932F49" w:rsidP="00932F49">
                  <w:pPr>
                    <w:rPr>
                      <w:rFonts w:ascii="Arial Black" w:hAnsi="Arial Black" w:cs="Arial"/>
                      <w:szCs w:val="24"/>
                    </w:rPr>
                  </w:pPr>
                  <w:r>
                    <w:rPr>
                      <w:rFonts w:ascii="Arial Black" w:hAnsi="Arial Black" w:cs="Arial"/>
                      <w:sz w:val="36"/>
                      <w:szCs w:val="36"/>
                    </w:rPr>
                    <w:t>GOVERNANCE, AUDIT, RISK MANAGEMENT AND STANDARDS COMMITTEE</w:t>
                  </w:r>
                </w:p>
              </w:tc>
            </w:tr>
            <w:tr w:rsidR="00932F49" w:rsidRPr="00CB78B3" w:rsidTr="00932F49">
              <w:trPr>
                <w:trHeight w:val="818"/>
              </w:trPr>
              <w:tc>
                <w:tcPr>
                  <w:tcW w:w="3587" w:type="dxa"/>
                  <w:tcBorders>
                    <w:top w:val="single" w:sz="18" w:space="0" w:color="auto"/>
                  </w:tcBorders>
                </w:tcPr>
                <w:p w:rsidR="00932F49" w:rsidRPr="00CB78B3" w:rsidRDefault="00932F49" w:rsidP="00932F49">
                  <w:pPr>
                    <w:pStyle w:val="Infotext"/>
                    <w:rPr>
                      <w:rFonts w:ascii="Arial Black" w:hAnsi="Arial Black"/>
                    </w:rPr>
                  </w:pPr>
                  <w:r w:rsidRPr="00CB78B3">
                    <w:rPr>
                      <w:rFonts w:ascii="Arial Black" w:hAnsi="Arial Black"/>
                    </w:rPr>
                    <w:t xml:space="preserve">Date of Meeting:              </w:t>
                  </w:r>
                </w:p>
                <w:p w:rsidR="00932F49" w:rsidRPr="00CB78B3" w:rsidRDefault="00932F49" w:rsidP="00932F49">
                  <w:pPr>
                    <w:pStyle w:val="Infotext"/>
                    <w:rPr>
                      <w:rFonts w:ascii="Arial Black" w:hAnsi="Arial Black" w:cs="Arial"/>
                    </w:rPr>
                  </w:pPr>
                </w:p>
              </w:tc>
              <w:tc>
                <w:tcPr>
                  <w:tcW w:w="5433" w:type="dxa"/>
                  <w:tcBorders>
                    <w:top w:val="single" w:sz="18" w:space="0" w:color="auto"/>
                  </w:tcBorders>
                </w:tcPr>
                <w:p w:rsidR="00932F49" w:rsidRPr="00CB78B3" w:rsidRDefault="00932F49" w:rsidP="00932F49">
                  <w:pPr>
                    <w:rPr>
                      <w:rFonts w:cs="Arial"/>
                      <w:szCs w:val="24"/>
                    </w:rPr>
                  </w:pPr>
                  <w:r>
                    <w:rPr>
                      <w:rFonts w:cs="Arial"/>
                      <w:szCs w:val="24"/>
                    </w:rPr>
                    <w:t>30 January</w:t>
                  </w:r>
                  <w:r w:rsidRPr="00CB78B3">
                    <w:rPr>
                      <w:rFonts w:cs="Arial"/>
                      <w:szCs w:val="24"/>
                    </w:rPr>
                    <w:t xml:space="preserve"> 201</w:t>
                  </w:r>
                  <w:r>
                    <w:rPr>
                      <w:rFonts w:cs="Arial"/>
                      <w:szCs w:val="24"/>
                    </w:rPr>
                    <w:t>8</w:t>
                  </w:r>
                </w:p>
              </w:tc>
            </w:tr>
            <w:tr w:rsidR="00932F49" w:rsidRPr="00CB78B3" w:rsidTr="00932F49">
              <w:trPr>
                <w:trHeight w:val="1136"/>
              </w:trPr>
              <w:tc>
                <w:tcPr>
                  <w:tcW w:w="3587" w:type="dxa"/>
                </w:tcPr>
                <w:p w:rsidR="00932F49" w:rsidRPr="00CB78B3" w:rsidRDefault="00932F49" w:rsidP="00932F49">
                  <w:pPr>
                    <w:pStyle w:val="Infotext"/>
                    <w:rPr>
                      <w:rFonts w:ascii="Arial Black" w:hAnsi="Arial Black" w:cs="Arial"/>
                    </w:rPr>
                  </w:pPr>
                  <w:r w:rsidRPr="00CB78B3">
                    <w:rPr>
                      <w:rFonts w:ascii="Arial Black" w:hAnsi="Arial Black" w:cs="Arial"/>
                    </w:rPr>
                    <w:t>Subject:</w:t>
                  </w:r>
                </w:p>
                <w:p w:rsidR="00932F49" w:rsidRPr="00CB78B3" w:rsidRDefault="00932F49" w:rsidP="00932F49">
                  <w:pPr>
                    <w:pStyle w:val="Infotext"/>
                    <w:rPr>
                      <w:rFonts w:ascii="Arial Black" w:hAnsi="Arial Black"/>
                    </w:rPr>
                  </w:pPr>
                </w:p>
              </w:tc>
              <w:tc>
                <w:tcPr>
                  <w:tcW w:w="5433" w:type="dxa"/>
                </w:tcPr>
                <w:p w:rsidR="00932F49" w:rsidRPr="00CB78B3" w:rsidRDefault="00932F49" w:rsidP="00932F49">
                  <w:pPr>
                    <w:rPr>
                      <w:rFonts w:cs="Arial"/>
                      <w:szCs w:val="24"/>
                    </w:rPr>
                  </w:pPr>
                  <w:r w:rsidRPr="00CB78B3">
                    <w:rPr>
                      <w:rFonts w:cs="Arial"/>
                      <w:szCs w:val="24"/>
                    </w:rPr>
                    <w:t>Treasury Management Strategy Statement including Prudential Indicators, Minimum Revenue Provision Policy Statement and Annual Investment Strategy for 201</w:t>
                  </w:r>
                  <w:r>
                    <w:rPr>
                      <w:rFonts w:cs="Arial"/>
                      <w:szCs w:val="24"/>
                    </w:rPr>
                    <w:t>8</w:t>
                  </w:r>
                  <w:r w:rsidRPr="00CB78B3">
                    <w:rPr>
                      <w:rFonts w:cs="Arial"/>
                      <w:szCs w:val="24"/>
                    </w:rPr>
                    <w:t>/1</w:t>
                  </w:r>
                  <w:r>
                    <w:rPr>
                      <w:rFonts w:cs="Arial"/>
                      <w:szCs w:val="24"/>
                    </w:rPr>
                    <w:t>9</w:t>
                  </w:r>
                </w:p>
              </w:tc>
            </w:tr>
            <w:tr w:rsidR="00932F49" w:rsidRPr="00CB78B3" w:rsidTr="00932F49">
              <w:trPr>
                <w:trHeight w:val="409"/>
              </w:trPr>
              <w:tc>
                <w:tcPr>
                  <w:tcW w:w="3587" w:type="dxa"/>
                </w:tcPr>
                <w:p w:rsidR="00932F49" w:rsidRPr="00CB78B3" w:rsidRDefault="00932F49" w:rsidP="00932F49">
                  <w:pPr>
                    <w:pStyle w:val="Infotext"/>
                    <w:rPr>
                      <w:rFonts w:ascii="Arial Black" w:hAnsi="Arial Black" w:cs="Arial"/>
                    </w:rPr>
                  </w:pPr>
                </w:p>
              </w:tc>
              <w:tc>
                <w:tcPr>
                  <w:tcW w:w="5433" w:type="dxa"/>
                </w:tcPr>
                <w:p w:rsidR="00932F49" w:rsidRPr="00CB78B3" w:rsidRDefault="00932F49" w:rsidP="00932F49">
                  <w:pPr>
                    <w:pStyle w:val="Infotext"/>
                    <w:rPr>
                      <w:rFonts w:cs="Arial"/>
                      <w:szCs w:val="24"/>
                    </w:rPr>
                  </w:pPr>
                </w:p>
              </w:tc>
            </w:tr>
            <w:tr w:rsidR="00932F49" w:rsidRPr="00CB78B3" w:rsidTr="00932F49">
              <w:trPr>
                <w:trHeight w:val="818"/>
              </w:trPr>
              <w:tc>
                <w:tcPr>
                  <w:tcW w:w="3587" w:type="dxa"/>
                </w:tcPr>
                <w:p w:rsidR="00932F49" w:rsidRPr="00CB78B3" w:rsidRDefault="00932F49" w:rsidP="00932F49">
                  <w:pPr>
                    <w:pStyle w:val="Infotext"/>
                    <w:rPr>
                      <w:rFonts w:ascii="Arial Black" w:hAnsi="Arial Black" w:cs="Arial"/>
                    </w:rPr>
                  </w:pPr>
                  <w:r w:rsidRPr="00CB78B3">
                    <w:rPr>
                      <w:rFonts w:ascii="Arial Black" w:hAnsi="Arial Black" w:cs="Arial"/>
                    </w:rPr>
                    <w:t>Responsible Officer:</w:t>
                  </w:r>
                </w:p>
                <w:p w:rsidR="00932F49" w:rsidRPr="00CB78B3" w:rsidRDefault="00932F49" w:rsidP="00932F49">
                  <w:pPr>
                    <w:pStyle w:val="Infotext"/>
                    <w:rPr>
                      <w:rFonts w:ascii="Arial Black" w:hAnsi="Arial Black" w:cs="Arial"/>
                    </w:rPr>
                  </w:pPr>
                </w:p>
              </w:tc>
              <w:tc>
                <w:tcPr>
                  <w:tcW w:w="5433" w:type="dxa"/>
                </w:tcPr>
                <w:p w:rsidR="00932F49" w:rsidRPr="00CB78B3" w:rsidRDefault="00932F49" w:rsidP="00932F49">
                  <w:pPr>
                    <w:pStyle w:val="Infotext"/>
                    <w:rPr>
                      <w:rFonts w:cs="Arial"/>
                      <w:sz w:val="24"/>
                      <w:szCs w:val="24"/>
                    </w:rPr>
                  </w:pPr>
                  <w:r w:rsidRPr="00CB78B3">
                    <w:rPr>
                      <w:rFonts w:cs="Arial"/>
                      <w:sz w:val="24"/>
                      <w:szCs w:val="24"/>
                    </w:rPr>
                    <w:t>Dawn Calvert, Director of Finance</w:t>
                  </w:r>
                </w:p>
              </w:tc>
            </w:tr>
            <w:tr w:rsidR="00932F49" w:rsidRPr="00CF6FAC" w:rsidTr="00932F49">
              <w:trPr>
                <w:trHeight w:val="752"/>
              </w:trPr>
              <w:tc>
                <w:tcPr>
                  <w:tcW w:w="3587" w:type="dxa"/>
                </w:tcPr>
                <w:p w:rsidR="00932F49" w:rsidRPr="00CB78B3" w:rsidRDefault="00932F49" w:rsidP="00932F49">
                  <w:pPr>
                    <w:pStyle w:val="Infotext"/>
                    <w:rPr>
                      <w:rFonts w:ascii="Arial Black" w:hAnsi="Arial Black"/>
                    </w:rPr>
                  </w:pPr>
                  <w:r w:rsidRPr="00CB78B3">
                    <w:rPr>
                      <w:rFonts w:ascii="Arial Black" w:hAnsi="Arial Black"/>
                    </w:rPr>
                    <w:t>Exempt:</w:t>
                  </w:r>
                </w:p>
                <w:p w:rsidR="00932F49" w:rsidRPr="00CB78B3" w:rsidRDefault="00932F49" w:rsidP="00932F49">
                  <w:pPr>
                    <w:pStyle w:val="BodyText"/>
                    <w:rPr>
                      <w:rFonts w:ascii="Arial Black" w:hAnsi="Arial Black"/>
                    </w:rPr>
                  </w:pPr>
                </w:p>
              </w:tc>
              <w:tc>
                <w:tcPr>
                  <w:tcW w:w="5433" w:type="dxa"/>
                </w:tcPr>
                <w:p w:rsidR="00932F49" w:rsidRPr="00CF6FAC" w:rsidRDefault="00932F49" w:rsidP="00B8141B">
                  <w:pPr>
                    <w:pStyle w:val="Infotext"/>
                    <w:rPr>
                      <w:rFonts w:cs="Arial"/>
                      <w:color w:val="000000" w:themeColor="text1"/>
                      <w:sz w:val="24"/>
                      <w:szCs w:val="24"/>
                    </w:rPr>
                  </w:pPr>
                  <w:r w:rsidRPr="00CF6FAC">
                    <w:rPr>
                      <w:rFonts w:cs="Arial"/>
                      <w:color w:val="000000" w:themeColor="text1"/>
                      <w:sz w:val="24"/>
                      <w:szCs w:val="24"/>
                    </w:rPr>
                    <w:t>No</w:t>
                  </w:r>
                  <w:bookmarkStart w:id="0" w:name="_GoBack"/>
                  <w:bookmarkEnd w:id="0"/>
                </w:p>
              </w:tc>
            </w:tr>
            <w:tr w:rsidR="00932F49" w:rsidRPr="00CB78B3" w:rsidTr="00932F49">
              <w:trPr>
                <w:trHeight w:val="356"/>
              </w:trPr>
              <w:tc>
                <w:tcPr>
                  <w:tcW w:w="3587" w:type="dxa"/>
                </w:tcPr>
                <w:p w:rsidR="00932F49" w:rsidRPr="00CB78B3" w:rsidRDefault="00932F49" w:rsidP="00932F49">
                  <w:pPr>
                    <w:pStyle w:val="BodyText"/>
                    <w:rPr>
                      <w:rFonts w:ascii="Arial Black" w:hAnsi="Arial Black"/>
                    </w:rPr>
                  </w:pPr>
                </w:p>
              </w:tc>
              <w:tc>
                <w:tcPr>
                  <w:tcW w:w="5433" w:type="dxa"/>
                </w:tcPr>
                <w:p w:rsidR="00932F49" w:rsidRPr="00CB78B3" w:rsidRDefault="00932F49" w:rsidP="00932F49">
                  <w:pPr>
                    <w:rPr>
                      <w:rFonts w:cs="Arial"/>
                      <w:szCs w:val="24"/>
                    </w:rPr>
                  </w:pPr>
                </w:p>
              </w:tc>
            </w:tr>
            <w:tr w:rsidR="00932F49" w:rsidRPr="00CB78B3" w:rsidTr="00932F49">
              <w:trPr>
                <w:trHeight w:val="818"/>
              </w:trPr>
              <w:tc>
                <w:tcPr>
                  <w:tcW w:w="3587" w:type="dxa"/>
                </w:tcPr>
                <w:p w:rsidR="00932F49" w:rsidRPr="00CB78B3" w:rsidRDefault="00932F49" w:rsidP="00932F49">
                  <w:pPr>
                    <w:pStyle w:val="Infotext"/>
                    <w:rPr>
                      <w:rFonts w:ascii="Arial Black" w:hAnsi="Arial Black" w:cs="Arial"/>
                    </w:rPr>
                  </w:pPr>
                  <w:r w:rsidRPr="00CB78B3">
                    <w:rPr>
                      <w:rFonts w:ascii="Arial Black" w:hAnsi="Arial Black" w:cs="Arial"/>
                    </w:rPr>
                    <w:t>Wards affected:</w:t>
                  </w:r>
                </w:p>
                <w:p w:rsidR="00932F49" w:rsidRPr="00CB78B3" w:rsidRDefault="00932F49" w:rsidP="00932F49">
                  <w:pPr>
                    <w:pStyle w:val="Infotext"/>
                    <w:rPr>
                      <w:rFonts w:ascii="Arial Black" w:hAnsi="Arial Black" w:cs="Arial"/>
                    </w:rPr>
                  </w:pPr>
                </w:p>
              </w:tc>
              <w:tc>
                <w:tcPr>
                  <w:tcW w:w="5433" w:type="dxa"/>
                </w:tcPr>
                <w:p w:rsidR="00932F49" w:rsidRPr="00CB78B3" w:rsidRDefault="00932F49" w:rsidP="00932F49">
                  <w:pPr>
                    <w:rPr>
                      <w:rFonts w:cs="Arial"/>
                      <w:szCs w:val="24"/>
                    </w:rPr>
                  </w:pPr>
                  <w:r w:rsidRPr="00CB78B3">
                    <w:rPr>
                      <w:rFonts w:cs="Arial"/>
                      <w:szCs w:val="24"/>
                    </w:rPr>
                    <w:t>All</w:t>
                  </w:r>
                </w:p>
              </w:tc>
            </w:tr>
            <w:tr w:rsidR="00932F49" w:rsidRPr="00CB78B3" w:rsidTr="00932F49">
              <w:trPr>
                <w:trHeight w:val="1429"/>
              </w:trPr>
              <w:tc>
                <w:tcPr>
                  <w:tcW w:w="3587" w:type="dxa"/>
                </w:tcPr>
                <w:p w:rsidR="00932F49" w:rsidRPr="00CB78B3" w:rsidRDefault="00932F49" w:rsidP="00932F49">
                  <w:pPr>
                    <w:pStyle w:val="Infotext"/>
                    <w:rPr>
                      <w:rFonts w:ascii="Arial Black" w:hAnsi="Arial Black" w:cs="Arial"/>
                    </w:rPr>
                  </w:pPr>
                  <w:r w:rsidRPr="00CB78B3">
                    <w:rPr>
                      <w:rFonts w:ascii="Arial Black" w:hAnsi="Arial Black" w:cs="Arial"/>
                    </w:rPr>
                    <w:t>Enclosures:</w:t>
                  </w:r>
                </w:p>
                <w:p w:rsidR="00932F49" w:rsidRPr="00CB78B3" w:rsidRDefault="00932F49" w:rsidP="00932F49">
                  <w:pPr>
                    <w:pStyle w:val="Infotext"/>
                    <w:rPr>
                      <w:rFonts w:ascii="Arial Black" w:hAnsi="Arial Black" w:cs="Arial"/>
                    </w:rPr>
                  </w:pPr>
                </w:p>
              </w:tc>
              <w:tc>
                <w:tcPr>
                  <w:tcW w:w="5433" w:type="dxa"/>
                </w:tcPr>
                <w:p w:rsidR="00932F49" w:rsidRPr="00CB78B3" w:rsidRDefault="00932F49" w:rsidP="00932F49">
                  <w:pPr>
                    <w:pStyle w:val="Infotext"/>
                    <w:rPr>
                      <w:rFonts w:cs="Arial"/>
                      <w:sz w:val="24"/>
                      <w:szCs w:val="24"/>
                    </w:rPr>
                  </w:pPr>
                  <w:r w:rsidRPr="00CB78B3">
                    <w:rPr>
                      <w:rFonts w:cs="Arial"/>
                      <w:sz w:val="24"/>
                      <w:szCs w:val="24"/>
                    </w:rPr>
                    <w:t>Appendix A – Legislation and Regulations Impacting on Treasury Management</w:t>
                  </w:r>
                </w:p>
                <w:p w:rsidR="00932F49" w:rsidRPr="00CB78B3" w:rsidRDefault="00932F49" w:rsidP="00932F49">
                  <w:pPr>
                    <w:pStyle w:val="Infotext"/>
                    <w:rPr>
                      <w:rFonts w:cs="Arial"/>
                      <w:sz w:val="24"/>
                      <w:szCs w:val="24"/>
                    </w:rPr>
                  </w:pPr>
                  <w:r w:rsidRPr="00CB78B3">
                    <w:rPr>
                      <w:rFonts w:cs="Arial"/>
                      <w:sz w:val="24"/>
                      <w:szCs w:val="24"/>
                    </w:rPr>
                    <w:t>Appendix B – Treasury Management Delegations and Responsibilities</w:t>
                  </w:r>
                </w:p>
                <w:p w:rsidR="00932F49" w:rsidRPr="00CB78B3" w:rsidRDefault="00932F49" w:rsidP="00932F49">
                  <w:pPr>
                    <w:pStyle w:val="Infotext"/>
                    <w:rPr>
                      <w:rFonts w:cs="Arial"/>
                      <w:sz w:val="24"/>
                      <w:szCs w:val="24"/>
                    </w:rPr>
                  </w:pPr>
                  <w:r w:rsidRPr="00CB78B3">
                    <w:rPr>
                      <w:rFonts w:cs="Arial"/>
                      <w:sz w:val="24"/>
                      <w:szCs w:val="24"/>
                    </w:rPr>
                    <w:t>Appendix C – Minimum Revenue Provision (MRP) Policy Statement</w:t>
                  </w:r>
                </w:p>
                <w:p w:rsidR="00932F49" w:rsidRPr="00CB78B3" w:rsidRDefault="00932F49" w:rsidP="00932F49">
                  <w:pPr>
                    <w:pStyle w:val="Infotext"/>
                    <w:rPr>
                      <w:rFonts w:cs="Arial"/>
                      <w:sz w:val="24"/>
                      <w:szCs w:val="24"/>
                    </w:rPr>
                  </w:pPr>
                  <w:r w:rsidRPr="00CB78B3">
                    <w:rPr>
                      <w:rFonts w:cs="Arial"/>
                      <w:sz w:val="24"/>
                      <w:szCs w:val="24"/>
                    </w:rPr>
                    <w:t>Appendix D – Interest Rate Forecasts 201</w:t>
                  </w:r>
                  <w:r>
                    <w:rPr>
                      <w:rFonts w:cs="Arial"/>
                      <w:sz w:val="24"/>
                      <w:szCs w:val="24"/>
                    </w:rPr>
                    <w:t>8</w:t>
                  </w:r>
                  <w:r w:rsidRPr="00CB78B3">
                    <w:rPr>
                      <w:rFonts w:cs="Arial"/>
                      <w:sz w:val="24"/>
                      <w:szCs w:val="24"/>
                    </w:rPr>
                    <w:t>-2</w:t>
                  </w:r>
                  <w:r>
                    <w:rPr>
                      <w:rFonts w:cs="Arial"/>
                      <w:sz w:val="24"/>
                      <w:szCs w:val="24"/>
                    </w:rPr>
                    <w:t>1</w:t>
                  </w:r>
                </w:p>
                <w:p w:rsidR="00932F49" w:rsidRPr="00CB78B3" w:rsidRDefault="00932F49" w:rsidP="00932F49">
                  <w:pPr>
                    <w:pStyle w:val="Infotext"/>
                    <w:rPr>
                      <w:rFonts w:cs="Arial"/>
                      <w:sz w:val="24"/>
                      <w:szCs w:val="24"/>
                    </w:rPr>
                  </w:pPr>
                  <w:r w:rsidRPr="00CB78B3">
                    <w:rPr>
                      <w:rFonts w:cs="Arial"/>
                      <w:sz w:val="24"/>
                      <w:szCs w:val="24"/>
                    </w:rPr>
                    <w:t>Appendix E - Economic Background</w:t>
                  </w:r>
                </w:p>
                <w:p w:rsidR="00932F49" w:rsidRDefault="00932F49" w:rsidP="00932F49">
                  <w:pPr>
                    <w:pStyle w:val="Infotext"/>
                    <w:rPr>
                      <w:rFonts w:cs="Arial"/>
                      <w:sz w:val="24"/>
                      <w:szCs w:val="24"/>
                    </w:rPr>
                  </w:pPr>
                  <w:r w:rsidRPr="00CB78B3">
                    <w:rPr>
                      <w:rFonts w:cs="Arial"/>
                      <w:sz w:val="24"/>
                      <w:szCs w:val="24"/>
                    </w:rPr>
                    <w:t xml:space="preserve">Appendix F </w:t>
                  </w:r>
                  <w:r>
                    <w:rPr>
                      <w:rFonts w:cs="Arial"/>
                      <w:sz w:val="24"/>
                      <w:szCs w:val="24"/>
                    </w:rPr>
                    <w:t>–</w:t>
                  </w:r>
                  <w:r w:rsidRPr="00CB78B3">
                    <w:rPr>
                      <w:rFonts w:cs="Arial"/>
                      <w:sz w:val="24"/>
                      <w:szCs w:val="24"/>
                    </w:rPr>
                    <w:t xml:space="preserve"> Counterparties</w:t>
                  </w:r>
                </w:p>
                <w:p w:rsidR="00932F49" w:rsidRPr="00CB78B3" w:rsidRDefault="00932F49" w:rsidP="00932F49">
                  <w:pPr>
                    <w:pStyle w:val="Infotext"/>
                    <w:rPr>
                      <w:rFonts w:cs="Arial"/>
                      <w:sz w:val="24"/>
                      <w:szCs w:val="24"/>
                    </w:rPr>
                  </w:pPr>
                  <w:r w:rsidRPr="00CB78B3">
                    <w:rPr>
                      <w:rFonts w:cs="Arial"/>
                      <w:sz w:val="24"/>
                      <w:szCs w:val="24"/>
                    </w:rPr>
                    <w:t>Appendix G - Affordability Prudential Indicators</w:t>
                  </w:r>
                </w:p>
                <w:p w:rsidR="00932F49" w:rsidRPr="00CB78B3" w:rsidRDefault="00932F49" w:rsidP="00932F49">
                  <w:pPr>
                    <w:pStyle w:val="Infotext"/>
                    <w:rPr>
                      <w:color w:val="FF0000"/>
                      <w:sz w:val="24"/>
                      <w:szCs w:val="24"/>
                    </w:rPr>
                  </w:pPr>
                </w:p>
              </w:tc>
            </w:tr>
          </w:tbl>
          <w:p w:rsidR="00333FAA" w:rsidRPr="00C13A5F" w:rsidRDefault="00333FAA" w:rsidP="00A53B04">
            <w:pPr>
              <w:pStyle w:val="Infotext"/>
              <w:rPr>
                <w:rFonts w:ascii="Arial Black" w:hAnsi="Arial Black" w:cs="Arial"/>
              </w:rPr>
            </w:pPr>
          </w:p>
        </w:tc>
        <w:tc>
          <w:tcPr>
            <w:tcW w:w="222" w:type="dxa"/>
          </w:tcPr>
          <w:p w:rsidR="00333FAA" w:rsidRPr="005E3A10" w:rsidRDefault="00333FAA" w:rsidP="00CB7776">
            <w:pPr>
              <w:pStyle w:val="Infotext"/>
              <w:rPr>
                <w:rFonts w:cs="Arial"/>
                <w:szCs w:val="24"/>
              </w:rPr>
            </w:pPr>
          </w:p>
        </w:tc>
      </w:tr>
      <w:tr w:rsidR="00DA2B16" w:rsidRPr="00DA2B16" w:rsidTr="00932F49">
        <w:trPr>
          <w:jc w:val="center"/>
        </w:trPr>
        <w:tc>
          <w:tcPr>
            <w:tcW w:w="9270" w:type="dxa"/>
            <w:gridSpan w:val="2"/>
          </w:tcPr>
          <w:p w:rsidR="00DA2B16" w:rsidRPr="00CB78B3" w:rsidRDefault="00DA2B16" w:rsidP="00DA2B16"/>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2"/>
            </w:tblGrid>
            <w:tr w:rsidR="00140C7F" w:rsidRPr="00CB78B3" w:rsidTr="00140C7F">
              <w:trPr>
                <w:trHeight w:val="5319"/>
              </w:trPr>
              <w:tc>
                <w:tcPr>
                  <w:tcW w:w="8832" w:type="dxa"/>
                  <w:shd w:val="clear" w:color="auto" w:fill="auto"/>
                </w:tcPr>
                <w:p w:rsidR="00140C7F" w:rsidRPr="00CF6FAC" w:rsidRDefault="00140C7F" w:rsidP="00706BA4">
                  <w:pPr>
                    <w:ind w:right="79"/>
                    <w:jc w:val="both"/>
                    <w:rPr>
                      <w:rFonts w:ascii="Arial Black" w:hAnsi="Arial Black" w:cs="Arial"/>
                      <w:color w:val="000000" w:themeColor="text1"/>
                      <w:sz w:val="28"/>
                      <w:szCs w:val="28"/>
                    </w:rPr>
                  </w:pPr>
                  <w:r w:rsidRPr="00CF6FAC">
                    <w:rPr>
                      <w:rFonts w:ascii="Arial Black" w:hAnsi="Arial Black" w:cs="Arial"/>
                      <w:color w:val="000000" w:themeColor="text1"/>
                      <w:sz w:val="28"/>
                      <w:szCs w:val="28"/>
                    </w:rPr>
                    <w:t>Summary</w:t>
                  </w:r>
                </w:p>
                <w:p w:rsidR="00140C7F" w:rsidRPr="00CF6FAC" w:rsidRDefault="00140C7F" w:rsidP="00706BA4">
                  <w:pPr>
                    <w:ind w:right="79"/>
                    <w:jc w:val="both"/>
                    <w:rPr>
                      <w:rFonts w:cs="Arial"/>
                      <w:color w:val="000000" w:themeColor="text1"/>
                      <w:szCs w:val="24"/>
                    </w:rPr>
                  </w:pPr>
                  <w:r w:rsidRPr="00CF6FAC">
                    <w:rPr>
                      <w:rFonts w:cs="Arial"/>
                      <w:color w:val="000000" w:themeColor="text1"/>
                      <w:szCs w:val="24"/>
                    </w:rPr>
                    <w:t>This report sets out the Council’s Treasury Management Strategy Statement including Prudential Indicators, Minimum Revenue Provision Policy Statement and Annual Investment Strategy 201</w:t>
                  </w:r>
                  <w:r w:rsidR="006A116B" w:rsidRPr="00CF6FAC">
                    <w:rPr>
                      <w:rFonts w:cs="Arial"/>
                      <w:color w:val="000000" w:themeColor="text1"/>
                      <w:szCs w:val="24"/>
                    </w:rPr>
                    <w:t>8</w:t>
                  </w:r>
                  <w:r w:rsidRPr="00CF6FAC">
                    <w:rPr>
                      <w:rFonts w:cs="Arial"/>
                      <w:color w:val="000000" w:themeColor="text1"/>
                      <w:szCs w:val="24"/>
                    </w:rPr>
                    <w:t>/1</w:t>
                  </w:r>
                  <w:r w:rsidR="006A116B" w:rsidRPr="00CF6FAC">
                    <w:rPr>
                      <w:rFonts w:cs="Arial"/>
                      <w:color w:val="000000" w:themeColor="text1"/>
                      <w:szCs w:val="24"/>
                    </w:rPr>
                    <w:t>9</w:t>
                  </w:r>
                  <w:r w:rsidRPr="00CF6FAC">
                    <w:rPr>
                      <w:rFonts w:cs="Arial"/>
                      <w:color w:val="000000" w:themeColor="text1"/>
                      <w:szCs w:val="24"/>
                    </w:rPr>
                    <w:t>.</w:t>
                  </w:r>
                </w:p>
                <w:p w:rsidR="00140C7F" w:rsidRPr="00CF6FAC" w:rsidRDefault="00140C7F" w:rsidP="00706BA4">
                  <w:pPr>
                    <w:ind w:right="79"/>
                    <w:jc w:val="both"/>
                    <w:rPr>
                      <w:rFonts w:cs="Arial"/>
                      <w:color w:val="000000" w:themeColor="text1"/>
                      <w:szCs w:val="24"/>
                    </w:rPr>
                  </w:pPr>
                </w:p>
                <w:p w:rsidR="00140C7F" w:rsidRPr="00CF6FAC" w:rsidRDefault="00140C7F" w:rsidP="00706BA4">
                  <w:pPr>
                    <w:ind w:right="-480"/>
                    <w:jc w:val="both"/>
                    <w:rPr>
                      <w:rFonts w:ascii="Arial Black" w:hAnsi="Arial Black" w:cs="Arial"/>
                      <w:bCs/>
                      <w:color w:val="000000" w:themeColor="text1"/>
                      <w:sz w:val="28"/>
                      <w:szCs w:val="28"/>
                    </w:rPr>
                  </w:pPr>
                  <w:r w:rsidRPr="00CF6FAC">
                    <w:rPr>
                      <w:rFonts w:ascii="Arial Black" w:hAnsi="Arial Black" w:cs="Arial"/>
                      <w:bCs/>
                      <w:color w:val="000000" w:themeColor="text1"/>
                      <w:sz w:val="28"/>
                      <w:szCs w:val="28"/>
                    </w:rPr>
                    <w:t>Recommendation</w:t>
                  </w:r>
                </w:p>
                <w:p w:rsidR="00140C7F" w:rsidRPr="00CF6FAC" w:rsidRDefault="00140C7F" w:rsidP="00140C7F">
                  <w:pPr>
                    <w:rPr>
                      <w:color w:val="000000" w:themeColor="text1"/>
                    </w:rPr>
                  </w:pPr>
                  <w:r w:rsidRPr="00CF6FAC">
                    <w:rPr>
                      <w:color w:val="000000" w:themeColor="text1"/>
                    </w:rPr>
                    <w:t>Cabinet is asked to recommend to Council that they approve the Treasury Management Strategy Statement for 201</w:t>
                  </w:r>
                  <w:r w:rsidR="006A116B" w:rsidRPr="00CF6FAC">
                    <w:rPr>
                      <w:color w:val="000000" w:themeColor="text1"/>
                    </w:rPr>
                    <w:t>8</w:t>
                  </w:r>
                  <w:r w:rsidRPr="00CF6FAC">
                    <w:rPr>
                      <w:color w:val="000000" w:themeColor="text1"/>
                    </w:rPr>
                    <w:t>/1</w:t>
                  </w:r>
                  <w:r w:rsidR="006A116B" w:rsidRPr="00CF6FAC">
                    <w:rPr>
                      <w:color w:val="000000" w:themeColor="text1"/>
                    </w:rPr>
                    <w:t>9</w:t>
                  </w:r>
                  <w:r w:rsidRPr="00CF6FAC">
                    <w:rPr>
                      <w:color w:val="000000" w:themeColor="text1"/>
                    </w:rPr>
                    <w:t xml:space="preserve"> including:</w:t>
                  </w:r>
                </w:p>
                <w:p w:rsidR="00140C7F" w:rsidRPr="00CF6FAC" w:rsidRDefault="00140C7F" w:rsidP="00706BA4">
                  <w:pPr>
                    <w:numPr>
                      <w:ilvl w:val="0"/>
                      <w:numId w:val="3"/>
                    </w:numPr>
                    <w:rPr>
                      <w:rFonts w:cs="Arial"/>
                      <w:color w:val="000000" w:themeColor="text1"/>
                      <w:szCs w:val="24"/>
                    </w:rPr>
                  </w:pPr>
                  <w:r w:rsidRPr="00CF6FAC">
                    <w:rPr>
                      <w:rFonts w:cs="Arial"/>
                      <w:color w:val="000000" w:themeColor="text1"/>
                      <w:szCs w:val="24"/>
                    </w:rPr>
                    <w:t>Prudential Indicators for 201</w:t>
                  </w:r>
                  <w:r w:rsidR="006A116B" w:rsidRPr="00CF6FAC">
                    <w:rPr>
                      <w:rFonts w:cs="Arial"/>
                      <w:color w:val="000000" w:themeColor="text1"/>
                      <w:szCs w:val="24"/>
                    </w:rPr>
                    <w:t>8</w:t>
                  </w:r>
                  <w:r w:rsidRPr="00CF6FAC">
                    <w:rPr>
                      <w:rFonts w:cs="Arial"/>
                      <w:color w:val="000000" w:themeColor="text1"/>
                      <w:szCs w:val="24"/>
                    </w:rPr>
                    <w:t>/</w:t>
                  </w:r>
                  <w:r w:rsidR="006A116B" w:rsidRPr="00CF6FAC">
                    <w:rPr>
                      <w:rFonts w:cs="Arial"/>
                      <w:color w:val="000000" w:themeColor="text1"/>
                      <w:szCs w:val="24"/>
                    </w:rPr>
                    <w:t>19</w:t>
                  </w:r>
                </w:p>
                <w:p w:rsidR="00140C7F" w:rsidRPr="00CF6FAC" w:rsidRDefault="00140C7F" w:rsidP="00706BA4">
                  <w:pPr>
                    <w:numPr>
                      <w:ilvl w:val="0"/>
                      <w:numId w:val="3"/>
                    </w:numPr>
                    <w:rPr>
                      <w:rFonts w:cs="Arial"/>
                      <w:b/>
                      <w:bCs/>
                      <w:color w:val="000000" w:themeColor="text1"/>
                      <w:szCs w:val="24"/>
                      <w:u w:val="single"/>
                    </w:rPr>
                  </w:pPr>
                  <w:r w:rsidRPr="00CF6FAC">
                    <w:rPr>
                      <w:rFonts w:cs="Arial"/>
                      <w:color w:val="000000" w:themeColor="text1"/>
                      <w:szCs w:val="24"/>
                    </w:rPr>
                    <w:t>Minimum Revenue Provision Policy Statement for 201</w:t>
                  </w:r>
                  <w:r w:rsidR="006A116B" w:rsidRPr="00CF6FAC">
                    <w:rPr>
                      <w:rFonts w:cs="Arial"/>
                      <w:color w:val="000000" w:themeColor="text1"/>
                      <w:szCs w:val="24"/>
                    </w:rPr>
                    <w:t>8</w:t>
                  </w:r>
                  <w:r w:rsidRPr="00CF6FAC">
                    <w:rPr>
                      <w:rFonts w:cs="Arial"/>
                      <w:color w:val="000000" w:themeColor="text1"/>
                      <w:szCs w:val="24"/>
                    </w:rPr>
                    <w:t>/1</w:t>
                  </w:r>
                  <w:r w:rsidR="006A116B" w:rsidRPr="00CF6FAC">
                    <w:rPr>
                      <w:rFonts w:cs="Arial"/>
                      <w:color w:val="000000" w:themeColor="text1"/>
                      <w:szCs w:val="24"/>
                    </w:rPr>
                    <w:t>9</w:t>
                  </w:r>
                  <w:r w:rsidRPr="00CF6FAC">
                    <w:rPr>
                      <w:rFonts w:cs="Arial"/>
                      <w:color w:val="000000" w:themeColor="text1"/>
                      <w:szCs w:val="24"/>
                    </w:rPr>
                    <w:t>;</w:t>
                  </w:r>
                </w:p>
                <w:p w:rsidR="00140C7F" w:rsidRPr="00CF6FAC" w:rsidRDefault="00140C7F" w:rsidP="00706BA4">
                  <w:pPr>
                    <w:numPr>
                      <w:ilvl w:val="0"/>
                      <w:numId w:val="3"/>
                    </w:numPr>
                    <w:rPr>
                      <w:rFonts w:cs="Arial"/>
                      <w:b/>
                      <w:bCs/>
                      <w:color w:val="000000" w:themeColor="text1"/>
                      <w:szCs w:val="24"/>
                      <w:u w:val="single"/>
                    </w:rPr>
                  </w:pPr>
                  <w:r w:rsidRPr="00CF6FAC">
                    <w:rPr>
                      <w:rFonts w:cs="Arial"/>
                      <w:color w:val="000000" w:themeColor="text1"/>
                      <w:szCs w:val="24"/>
                    </w:rPr>
                    <w:t>Annual Investment Strategy for 201</w:t>
                  </w:r>
                  <w:r w:rsidR="006A116B" w:rsidRPr="00CF6FAC">
                    <w:rPr>
                      <w:rFonts w:cs="Arial"/>
                      <w:color w:val="000000" w:themeColor="text1"/>
                      <w:szCs w:val="24"/>
                    </w:rPr>
                    <w:t>8</w:t>
                  </w:r>
                  <w:r w:rsidRPr="00CF6FAC">
                    <w:rPr>
                      <w:rFonts w:cs="Arial"/>
                      <w:color w:val="000000" w:themeColor="text1"/>
                      <w:szCs w:val="24"/>
                    </w:rPr>
                    <w:t>/1</w:t>
                  </w:r>
                  <w:r w:rsidR="006A116B" w:rsidRPr="00CF6FAC">
                    <w:rPr>
                      <w:rFonts w:cs="Arial"/>
                      <w:color w:val="000000" w:themeColor="text1"/>
                      <w:szCs w:val="24"/>
                    </w:rPr>
                    <w:t>9</w:t>
                  </w:r>
                </w:p>
                <w:p w:rsidR="00140C7F" w:rsidRPr="00CF6FAC" w:rsidRDefault="00140C7F" w:rsidP="00706BA4">
                  <w:pPr>
                    <w:numPr>
                      <w:ilvl w:val="0"/>
                      <w:numId w:val="3"/>
                    </w:numPr>
                    <w:rPr>
                      <w:rFonts w:cs="Arial"/>
                      <w:b/>
                      <w:bCs/>
                      <w:color w:val="000000" w:themeColor="text1"/>
                      <w:szCs w:val="24"/>
                      <w:u w:val="single"/>
                    </w:rPr>
                  </w:pPr>
                  <w:r w:rsidRPr="00CF6FAC">
                    <w:rPr>
                      <w:rFonts w:cs="Arial"/>
                      <w:color w:val="000000" w:themeColor="text1"/>
                      <w:szCs w:val="24"/>
                    </w:rPr>
                    <w:t xml:space="preserve">Increase in investments held over </w:t>
                  </w:r>
                  <w:r w:rsidR="00EF51F5" w:rsidRPr="00CF6FAC">
                    <w:rPr>
                      <w:rFonts w:cs="Arial"/>
                      <w:color w:val="000000" w:themeColor="text1"/>
                      <w:szCs w:val="24"/>
                    </w:rPr>
                    <w:t xml:space="preserve">365 </w:t>
                  </w:r>
                  <w:r w:rsidRPr="00CF6FAC">
                    <w:rPr>
                      <w:rFonts w:cs="Arial"/>
                      <w:color w:val="000000" w:themeColor="text1"/>
                      <w:szCs w:val="24"/>
                    </w:rPr>
                    <w:t>days (Paragraph 8</w:t>
                  </w:r>
                  <w:r w:rsidR="00342D5F">
                    <w:rPr>
                      <w:rFonts w:cs="Arial"/>
                      <w:color w:val="000000" w:themeColor="text1"/>
                      <w:szCs w:val="24"/>
                    </w:rPr>
                    <w:t>1</w:t>
                  </w:r>
                  <w:r w:rsidRPr="00CF6FAC">
                    <w:rPr>
                      <w:rFonts w:cs="Arial"/>
                      <w:color w:val="000000" w:themeColor="text1"/>
                      <w:szCs w:val="24"/>
                    </w:rPr>
                    <w:t>)</w:t>
                  </w:r>
                </w:p>
                <w:p w:rsidR="00140C7F" w:rsidRPr="00CF6FAC" w:rsidRDefault="00140C7F" w:rsidP="00712F87">
                  <w:pPr>
                    <w:rPr>
                      <w:rFonts w:cs="Arial"/>
                      <w:bCs/>
                      <w:color w:val="000000" w:themeColor="text1"/>
                      <w:szCs w:val="24"/>
                    </w:rPr>
                  </w:pPr>
                </w:p>
                <w:p w:rsidR="00140C7F" w:rsidRPr="00CF6FAC" w:rsidRDefault="00140C7F" w:rsidP="00706BA4">
                  <w:pPr>
                    <w:ind w:right="-480"/>
                    <w:jc w:val="both"/>
                    <w:rPr>
                      <w:rFonts w:cs="Arial"/>
                      <w:b/>
                      <w:bCs/>
                      <w:color w:val="000000" w:themeColor="text1"/>
                      <w:szCs w:val="24"/>
                      <w:u w:val="single"/>
                    </w:rPr>
                  </w:pPr>
                  <w:r w:rsidRPr="00CF6FAC">
                    <w:rPr>
                      <w:rFonts w:ascii="Arial Black" w:hAnsi="Arial Black" w:cs="Arial"/>
                      <w:bCs/>
                      <w:color w:val="000000" w:themeColor="text1"/>
                      <w:sz w:val="28"/>
                      <w:szCs w:val="28"/>
                    </w:rPr>
                    <w:t>Reason</w:t>
                  </w:r>
                  <w:r w:rsidRPr="00CF6FAC">
                    <w:rPr>
                      <w:rFonts w:cs="Arial"/>
                      <w:b/>
                      <w:bCs/>
                      <w:color w:val="000000" w:themeColor="text1"/>
                      <w:szCs w:val="24"/>
                      <w:u w:val="single"/>
                    </w:rPr>
                    <w:t xml:space="preserve"> </w:t>
                  </w:r>
                </w:p>
                <w:p w:rsidR="00140C7F" w:rsidRPr="00CF6FAC" w:rsidRDefault="00140C7F" w:rsidP="00706BA4">
                  <w:pPr>
                    <w:ind w:right="-480"/>
                    <w:rPr>
                      <w:rFonts w:cs="Arial"/>
                      <w:color w:val="000000" w:themeColor="text1"/>
                    </w:rPr>
                  </w:pPr>
                  <w:r w:rsidRPr="00CF6FAC">
                    <w:rPr>
                      <w:rFonts w:cs="Arial"/>
                      <w:color w:val="000000" w:themeColor="text1"/>
                    </w:rPr>
                    <w:t>To promote effective financial management and comply with the Local Authorities (Capital Finance and Accounting) Regulations 2003 and other relevant guidance.</w:t>
                  </w:r>
                </w:p>
                <w:p w:rsidR="00140C7F" w:rsidRPr="00CF6FAC" w:rsidRDefault="00140C7F" w:rsidP="00706BA4">
                  <w:pPr>
                    <w:ind w:right="-480"/>
                    <w:rPr>
                      <w:rFonts w:cs="Arial"/>
                      <w:color w:val="000000" w:themeColor="text1"/>
                    </w:rPr>
                  </w:pPr>
                </w:p>
                <w:p w:rsidR="00140C7F" w:rsidRPr="00CF6FAC" w:rsidRDefault="00140C7F" w:rsidP="00706BA4">
                  <w:pPr>
                    <w:ind w:right="-480"/>
                    <w:rPr>
                      <w:color w:val="000000" w:themeColor="text1"/>
                    </w:rPr>
                  </w:pPr>
                </w:p>
              </w:tc>
            </w:tr>
          </w:tbl>
          <w:p w:rsidR="00712F87" w:rsidRPr="00CF6FAC" w:rsidRDefault="00712F87" w:rsidP="00DA2B16">
            <w:pPr>
              <w:ind w:right="-480"/>
              <w:rPr>
                <w:color w:val="000000" w:themeColor="text1"/>
              </w:rPr>
            </w:pPr>
          </w:p>
          <w:p w:rsidR="00B93CA0" w:rsidRPr="00CF6FAC" w:rsidRDefault="00B93CA0" w:rsidP="00DA2B16">
            <w:pPr>
              <w:ind w:right="-480"/>
              <w:rPr>
                <w:color w:val="000000" w:themeColor="text1"/>
              </w:rPr>
            </w:pPr>
          </w:p>
          <w:p w:rsidR="00B93CA0" w:rsidRPr="00CF6FAC" w:rsidRDefault="00B93CA0" w:rsidP="00DA2B16">
            <w:pPr>
              <w:ind w:right="-480"/>
              <w:rPr>
                <w:color w:val="000000" w:themeColor="text1"/>
              </w:rPr>
            </w:pPr>
          </w:p>
          <w:p w:rsidR="000450CA" w:rsidRPr="00CB78B3" w:rsidRDefault="000450CA" w:rsidP="0081761C">
            <w:pPr>
              <w:ind w:right="-480"/>
              <w:rPr>
                <w:color w:val="FF0000"/>
              </w:rPr>
            </w:pPr>
          </w:p>
        </w:tc>
      </w:tr>
      <w:tr w:rsidR="006F7B39" w:rsidRPr="00DA2B16" w:rsidTr="00932F49">
        <w:trPr>
          <w:trHeight w:val="4385"/>
          <w:jc w:val="center"/>
        </w:trPr>
        <w:tc>
          <w:tcPr>
            <w:tcW w:w="9270" w:type="dxa"/>
            <w:gridSpan w:val="2"/>
          </w:tcPr>
          <w:p w:rsidR="006F7B39" w:rsidRPr="00CB78B3" w:rsidRDefault="00030EF3" w:rsidP="006F7B39">
            <w:pPr>
              <w:pStyle w:val="Heading1"/>
              <w:pageBreakBefore/>
              <w:rPr>
                <w:rFonts w:ascii="Arial" w:hAnsi="Arial"/>
                <w:sz w:val="28"/>
                <w:szCs w:val="28"/>
              </w:rPr>
            </w:pPr>
            <w:r w:rsidRPr="00CB78B3">
              <w:rPr>
                <w:rFonts w:ascii="Arial" w:hAnsi="Arial" w:cs="Times New Roman"/>
                <w:bCs w:val="0"/>
                <w:sz w:val="24"/>
                <w:szCs w:val="20"/>
              </w:rPr>
              <w:lastRenderedPageBreak/>
              <w:br w:type="page"/>
            </w:r>
          </w:p>
          <w:tbl>
            <w:tblPr>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4A0" w:firstRow="1" w:lastRow="0" w:firstColumn="1" w:lastColumn="0" w:noHBand="0" w:noVBand="1"/>
            </w:tblPr>
            <w:tblGrid>
              <w:gridCol w:w="550"/>
              <w:gridCol w:w="6905"/>
              <w:gridCol w:w="1757"/>
            </w:tblGrid>
            <w:tr w:rsidR="00200DDB" w:rsidRPr="00CB78B3" w:rsidTr="00DE5EAA">
              <w:trPr>
                <w:trHeight w:val="510"/>
              </w:trPr>
              <w:tc>
                <w:tcPr>
                  <w:tcW w:w="0" w:type="auto"/>
                  <w:tcBorders>
                    <w:bottom w:val="single" w:sz="6" w:space="0" w:color="808080"/>
                  </w:tcBorders>
                  <w:shd w:val="clear" w:color="auto" w:fill="auto"/>
                </w:tcPr>
                <w:p w:rsidR="00200DDB" w:rsidRPr="00CB78B3" w:rsidRDefault="00200DDB" w:rsidP="00DE5EAA">
                  <w:pPr>
                    <w:pStyle w:val="Heading1"/>
                    <w:pageBreakBefore/>
                    <w:jc w:val="center"/>
                    <w:rPr>
                      <w:rFonts w:ascii="Arial" w:hAnsi="Arial"/>
                      <w:b/>
                      <w:bCs w:val="0"/>
                      <w:i/>
                      <w:iCs/>
                      <w:sz w:val="28"/>
                      <w:szCs w:val="28"/>
                    </w:rPr>
                  </w:pPr>
                </w:p>
              </w:tc>
              <w:tc>
                <w:tcPr>
                  <w:tcW w:w="0" w:type="auto"/>
                  <w:tcBorders>
                    <w:bottom w:val="single" w:sz="6" w:space="0" w:color="808080"/>
                  </w:tcBorders>
                  <w:shd w:val="clear" w:color="auto" w:fill="auto"/>
                </w:tcPr>
                <w:p w:rsidR="00200DDB" w:rsidRPr="00CB78B3" w:rsidRDefault="00200DDB" w:rsidP="00DE5EAA">
                  <w:pPr>
                    <w:pStyle w:val="Heading1"/>
                    <w:pageBreakBefore/>
                    <w:rPr>
                      <w:rFonts w:ascii="Arial" w:hAnsi="Arial"/>
                      <w:b/>
                      <w:bCs w:val="0"/>
                      <w:i/>
                      <w:iCs/>
                      <w:sz w:val="28"/>
                      <w:szCs w:val="28"/>
                    </w:rPr>
                  </w:pPr>
                </w:p>
              </w:tc>
              <w:tc>
                <w:tcPr>
                  <w:tcW w:w="0" w:type="auto"/>
                  <w:tcBorders>
                    <w:bottom w:val="single" w:sz="6" w:space="0" w:color="808080"/>
                  </w:tcBorders>
                  <w:shd w:val="clear" w:color="auto" w:fill="auto"/>
                </w:tcPr>
                <w:p w:rsidR="00200DDB" w:rsidRPr="00CB78B3" w:rsidRDefault="00200DDB" w:rsidP="00DE5EAA">
                  <w:pPr>
                    <w:pStyle w:val="Heading1"/>
                    <w:pageBreakBefore/>
                    <w:rPr>
                      <w:rFonts w:ascii="Arial" w:hAnsi="Arial"/>
                      <w:b/>
                      <w:bCs w:val="0"/>
                      <w:i/>
                      <w:iCs/>
                      <w:sz w:val="28"/>
                      <w:szCs w:val="28"/>
                    </w:rPr>
                  </w:pPr>
                  <w:r w:rsidRPr="00CB78B3">
                    <w:rPr>
                      <w:rFonts w:ascii="Arial" w:hAnsi="Arial"/>
                      <w:b/>
                      <w:bCs w:val="0"/>
                      <w:i/>
                      <w:iCs/>
                      <w:sz w:val="28"/>
                      <w:szCs w:val="28"/>
                    </w:rPr>
                    <w:t>Paragraphs</w:t>
                  </w:r>
                </w:p>
              </w:tc>
            </w:tr>
            <w:tr w:rsidR="00200DDB" w:rsidRPr="00CB78B3" w:rsidTr="00DE5EAA">
              <w:trPr>
                <w:trHeight w:val="312"/>
              </w:trPr>
              <w:tc>
                <w:tcPr>
                  <w:tcW w:w="0" w:type="auto"/>
                  <w:shd w:val="clear" w:color="auto" w:fill="auto"/>
                </w:tcPr>
                <w:p w:rsidR="00200DDB" w:rsidRPr="00CB78B3" w:rsidRDefault="00200DDB" w:rsidP="00DE5EAA">
                  <w:pPr>
                    <w:pStyle w:val="Heading1"/>
                    <w:pageBreakBefore/>
                    <w:rPr>
                      <w:rFonts w:ascii="Arial" w:hAnsi="Arial"/>
                      <w:b/>
                      <w:bCs w:val="0"/>
                      <w:sz w:val="28"/>
                      <w:szCs w:val="28"/>
                    </w:rPr>
                  </w:pPr>
                  <w:r w:rsidRPr="00CB78B3">
                    <w:rPr>
                      <w:rFonts w:ascii="Arial" w:hAnsi="Arial"/>
                      <w:b/>
                      <w:bCs w:val="0"/>
                      <w:sz w:val="28"/>
                      <w:szCs w:val="28"/>
                    </w:rPr>
                    <w:t>1</w:t>
                  </w:r>
                </w:p>
              </w:tc>
              <w:tc>
                <w:tcPr>
                  <w:tcW w:w="0" w:type="auto"/>
                  <w:shd w:val="clear" w:color="auto" w:fill="auto"/>
                </w:tcPr>
                <w:p w:rsidR="00200DDB" w:rsidRPr="00CB78B3" w:rsidRDefault="00200DDB" w:rsidP="00DE5EAA">
                  <w:pPr>
                    <w:pStyle w:val="Heading1"/>
                    <w:pageBreakBefore/>
                    <w:rPr>
                      <w:rFonts w:ascii="Arial" w:hAnsi="Arial"/>
                      <w:b/>
                      <w:sz w:val="28"/>
                      <w:szCs w:val="28"/>
                    </w:rPr>
                  </w:pPr>
                  <w:r w:rsidRPr="00CB78B3">
                    <w:rPr>
                      <w:rFonts w:ascii="Arial" w:hAnsi="Arial"/>
                      <w:b/>
                      <w:sz w:val="28"/>
                      <w:szCs w:val="28"/>
                    </w:rPr>
                    <w:t>INTRODUCTION</w:t>
                  </w:r>
                </w:p>
              </w:tc>
              <w:tc>
                <w:tcPr>
                  <w:tcW w:w="0" w:type="auto"/>
                  <w:shd w:val="clear" w:color="auto" w:fill="auto"/>
                </w:tcPr>
                <w:p w:rsidR="00200DDB" w:rsidRPr="00CB78B3" w:rsidRDefault="00223BFB" w:rsidP="00B34F35">
                  <w:pPr>
                    <w:pStyle w:val="Heading1"/>
                    <w:pageBreakBefore/>
                    <w:jc w:val="center"/>
                    <w:rPr>
                      <w:rFonts w:ascii="Arial" w:hAnsi="Arial"/>
                      <w:b/>
                      <w:sz w:val="28"/>
                      <w:szCs w:val="28"/>
                    </w:rPr>
                  </w:pPr>
                  <w:r w:rsidRPr="00CB78B3">
                    <w:rPr>
                      <w:rFonts w:ascii="Arial" w:hAnsi="Arial"/>
                      <w:b/>
                      <w:sz w:val="28"/>
                      <w:szCs w:val="28"/>
                    </w:rPr>
                    <w:t>1-2</w:t>
                  </w:r>
                  <w:r w:rsidR="00B34F35">
                    <w:rPr>
                      <w:rFonts w:ascii="Arial" w:hAnsi="Arial"/>
                      <w:b/>
                      <w:sz w:val="28"/>
                      <w:szCs w:val="28"/>
                    </w:rPr>
                    <w:t>1</w:t>
                  </w:r>
                </w:p>
              </w:tc>
            </w:tr>
            <w:tr w:rsidR="00200DDB" w:rsidRPr="00CB78B3" w:rsidTr="00DE5EAA">
              <w:tc>
                <w:tcPr>
                  <w:tcW w:w="0" w:type="auto"/>
                  <w:shd w:val="clear" w:color="auto" w:fill="auto"/>
                </w:tcPr>
                <w:p w:rsidR="00200DDB" w:rsidRPr="00CB78B3" w:rsidRDefault="00200DDB" w:rsidP="00DE5EAA">
                  <w:pPr>
                    <w:pStyle w:val="Heading1"/>
                    <w:pageBreakBefore/>
                    <w:rPr>
                      <w:rFonts w:ascii="Arial" w:hAnsi="Arial"/>
                      <w:b/>
                      <w:bCs w:val="0"/>
                      <w:sz w:val="24"/>
                      <w:szCs w:val="24"/>
                    </w:rPr>
                  </w:pPr>
                  <w:r w:rsidRPr="00CB78B3">
                    <w:rPr>
                      <w:rFonts w:ascii="Arial" w:hAnsi="Arial"/>
                      <w:b/>
                      <w:bCs w:val="0"/>
                      <w:sz w:val="24"/>
                      <w:szCs w:val="24"/>
                    </w:rPr>
                    <w:t>1.1</w:t>
                  </w:r>
                </w:p>
              </w:tc>
              <w:tc>
                <w:tcPr>
                  <w:tcW w:w="0" w:type="auto"/>
                  <w:shd w:val="clear" w:color="auto" w:fill="auto"/>
                </w:tcPr>
                <w:p w:rsidR="00200DDB" w:rsidRPr="00CB78B3" w:rsidRDefault="00200DDB" w:rsidP="00DE5EAA">
                  <w:pPr>
                    <w:pStyle w:val="Heading1"/>
                    <w:pageBreakBefore/>
                    <w:rPr>
                      <w:rFonts w:ascii="Arial" w:hAnsi="Arial"/>
                      <w:sz w:val="24"/>
                      <w:szCs w:val="24"/>
                    </w:rPr>
                  </w:pPr>
                  <w:r w:rsidRPr="00CB78B3">
                    <w:rPr>
                      <w:rFonts w:ascii="Arial" w:hAnsi="Arial"/>
                      <w:sz w:val="24"/>
                      <w:szCs w:val="24"/>
                    </w:rPr>
                    <w:t>Background</w:t>
                  </w:r>
                </w:p>
              </w:tc>
              <w:tc>
                <w:tcPr>
                  <w:tcW w:w="0" w:type="auto"/>
                  <w:shd w:val="clear" w:color="auto" w:fill="auto"/>
                </w:tcPr>
                <w:p w:rsidR="00223BFB" w:rsidRPr="00CB78B3" w:rsidRDefault="00223BFB" w:rsidP="00540474">
                  <w:pPr>
                    <w:pStyle w:val="Heading1"/>
                    <w:pageBreakBefore/>
                    <w:jc w:val="center"/>
                    <w:rPr>
                      <w:sz w:val="24"/>
                      <w:szCs w:val="24"/>
                    </w:rPr>
                  </w:pPr>
                  <w:r w:rsidRPr="00CB78B3">
                    <w:rPr>
                      <w:rFonts w:ascii="Arial" w:hAnsi="Arial"/>
                      <w:sz w:val="24"/>
                      <w:szCs w:val="24"/>
                    </w:rPr>
                    <w:t>1-8</w:t>
                  </w:r>
                </w:p>
              </w:tc>
            </w:tr>
            <w:tr w:rsidR="00DF0798" w:rsidRPr="00CB78B3" w:rsidTr="00DE5EAA">
              <w:tc>
                <w:tcPr>
                  <w:tcW w:w="0" w:type="auto"/>
                  <w:shd w:val="clear" w:color="auto" w:fill="auto"/>
                </w:tcPr>
                <w:p w:rsidR="00DF0798" w:rsidRPr="00CB78B3" w:rsidRDefault="00DF0798" w:rsidP="00DE5EAA">
                  <w:pPr>
                    <w:pStyle w:val="Heading1"/>
                    <w:pageBreakBefore/>
                    <w:rPr>
                      <w:rFonts w:ascii="Arial" w:hAnsi="Arial"/>
                      <w:b/>
                      <w:bCs w:val="0"/>
                      <w:sz w:val="24"/>
                      <w:szCs w:val="24"/>
                    </w:rPr>
                  </w:pPr>
                  <w:r w:rsidRPr="00CB78B3">
                    <w:rPr>
                      <w:rFonts w:ascii="Arial" w:hAnsi="Arial"/>
                      <w:b/>
                      <w:bCs w:val="0"/>
                      <w:sz w:val="24"/>
                      <w:szCs w:val="24"/>
                    </w:rPr>
                    <w:t>1.2</w:t>
                  </w:r>
                </w:p>
              </w:tc>
              <w:tc>
                <w:tcPr>
                  <w:tcW w:w="0" w:type="auto"/>
                  <w:shd w:val="clear" w:color="auto" w:fill="auto"/>
                </w:tcPr>
                <w:p w:rsidR="00DF0798" w:rsidRPr="00CB78B3" w:rsidRDefault="00DF0798" w:rsidP="00DE5EAA">
                  <w:pPr>
                    <w:pStyle w:val="Heading1"/>
                    <w:pageBreakBefore/>
                    <w:rPr>
                      <w:rFonts w:ascii="Arial" w:hAnsi="Arial"/>
                      <w:sz w:val="24"/>
                      <w:szCs w:val="24"/>
                    </w:rPr>
                  </w:pPr>
                  <w:r w:rsidRPr="00CB78B3">
                    <w:rPr>
                      <w:rFonts w:ascii="Arial" w:hAnsi="Arial"/>
                      <w:sz w:val="24"/>
                      <w:szCs w:val="24"/>
                    </w:rPr>
                    <w:t>CIPFA requirements</w:t>
                  </w:r>
                </w:p>
              </w:tc>
              <w:tc>
                <w:tcPr>
                  <w:tcW w:w="0" w:type="auto"/>
                  <w:shd w:val="clear" w:color="auto" w:fill="auto"/>
                </w:tcPr>
                <w:p w:rsidR="00DF0798" w:rsidRPr="00CB78B3" w:rsidRDefault="00223BFB" w:rsidP="00540474">
                  <w:pPr>
                    <w:pStyle w:val="Heading1"/>
                    <w:pageBreakBefore/>
                    <w:jc w:val="center"/>
                    <w:rPr>
                      <w:rFonts w:ascii="Arial" w:hAnsi="Arial"/>
                      <w:sz w:val="24"/>
                      <w:szCs w:val="24"/>
                    </w:rPr>
                  </w:pPr>
                  <w:r w:rsidRPr="00CB78B3">
                    <w:rPr>
                      <w:rFonts w:ascii="Arial" w:hAnsi="Arial"/>
                      <w:sz w:val="24"/>
                      <w:szCs w:val="24"/>
                    </w:rPr>
                    <w:t>9</w:t>
                  </w:r>
                </w:p>
              </w:tc>
            </w:tr>
            <w:tr w:rsidR="00200DDB" w:rsidRPr="00CB78B3" w:rsidTr="00DE5EAA">
              <w:tc>
                <w:tcPr>
                  <w:tcW w:w="0" w:type="auto"/>
                  <w:shd w:val="clear" w:color="auto" w:fill="auto"/>
                </w:tcPr>
                <w:p w:rsidR="00200DDB" w:rsidRPr="00CB78B3" w:rsidRDefault="00200DDB" w:rsidP="00DE5EAA">
                  <w:pPr>
                    <w:pStyle w:val="Heading1"/>
                    <w:pageBreakBefore/>
                    <w:rPr>
                      <w:rFonts w:ascii="Arial" w:hAnsi="Arial"/>
                      <w:b/>
                      <w:bCs w:val="0"/>
                      <w:sz w:val="24"/>
                      <w:szCs w:val="24"/>
                    </w:rPr>
                  </w:pPr>
                  <w:r w:rsidRPr="00CB78B3">
                    <w:rPr>
                      <w:rFonts w:ascii="Arial" w:hAnsi="Arial"/>
                      <w:b/>
                      <w:bCs w:val="0"/>
                      <w:sz w:val="24"/>
                      <w:szCs w:val="24"/>
                    </w:rPr>
                    <w:t>1.</w:t>
                  </w:r>
                  <w:r w:rsidR="00DF0798" w:rsidRPr="00CB78B3">
                    <w:rPr>
                      <w:rFonts w:ascii="Arial" w:hAnsi="Arial"/>
                      <w:b/>
                      <w:bCs w:val="0"/>
                      <w:sz w:val="24"/>
                      <w:szCs w:val="24"/>
                    </w:rPr>
                    <w:t>3</w:t>
                  </w:r>
                </w:p>
              </w:tc>
              <w:tc>
                <w:tcPr>
                  <w:tcW w:w="0" w:type="auto"/>
                  <w:shd w:val="clear" w:color="auto" w:fill="auto"/>
                </w:tcPr>
                <w:p w:rsidR="00200DDB" w:rsidRPr="00CB78B3" w:rsidRDefault="00200DDB" w:rsidP="00DE5EAA">
                  <w:pPr>
                    <w:pStyle w:val="Heading1"/>
                    <w:pageBreakBefore/>
                    <w:rPr>
                      <w:rFonts w:ascii="Arial" w:hAnsi="Arial"/>
                      <w:sz w:val="24"/>
                      <w:szCs w:val="24"/>
                    </w:rPr>
                  </w:pPr>
                  <w:r w:rsidRPr="00CB78B3">
                    <w:rPr>
                      <w:rFonts w:ascii="Arial" w:hAnsi="Arial"/>
                      <w:sz w:val="24"/>
                      <w:szCs w:val="24"/>
                    </w:rPr>
                    <w:t>Reporting requirements</w:t>
                  </w:r>
                </w:p>
              </w:tc>
              <w:tc>
                <w:tcPr>
                  <w:tcW w:w="0" w:type="auto"/>
                  <w:shd w:val="clear" w:color="auto" w:fill="auto"/>
                </w:tcPr>
                <w:p w:rsidR="00200DDB" w:rsidRPr="00CB78B3" w:rsidRDefault="00223BFB" w:rsidP="00540474">
                  <w:pPr>
                    <w:pStyle w:val="Heading1"/>
                    <w:pageBreakBefore/>
                    <w:jc w:val="center"/>
                    <w:rPr>
                      <w:rFonts w:ascii="Arial" w:hAnsi="Arial"/>
                      <w:sz w:val="24"/>
                      <w:szCs w:val="24"/>
                    </w:rPr>
                  </w:pPr>
                  <w:r w:rsidRPr="00CB78B3">
                    <w:rPr>
                      <w:rFonts w:ascii="Arial" w:hAnsi="Arial"/>
                      <w:sz w:val="24"/>
                      <w:szCs w:val="24"/>
                    </w:rPr>
                    <w:t>10-12</w:t>
                  </w:r>
                </w:p>
              </w:tc>
            </w:tr>
            <w:tr w:rsidR="00DF0798" w:rsidRPr="00CB78B3" w:rsidTr="00DE5EAA">
              <w:tc>
                <w:tcPr>
                  <w:tcW w:w="0" w:type="auto"/>
                  <w:shd w:val="clear" w:color="auto" w:fill="auto"/>
                </w:tcPr>
                <w:p w:rsidR="00DF0798" w:rsidRPr="00CB78B3" w:rsidRDefault="00DF0798" w:rsidP="00DE5EAA">
                  <w:pPr>
                    <w:pStyle w:val="Heading1"/>
                    <w:pageBreakBefore/>
                    <w:rPr>
                      <w:rFonts w:ascii="Arial" w:hAnsi="Arial"/>
                      <w:b/>
                      <w:bCs w:val="0"/>
                      <w:sz w:val="24"/>
                      <w:szCs w:val="24"/>
                    </w:rPr>
                  </w:pPr>
                  <w:r w:rsidRPr="00CB78B3">
                    <w:rPr>
                      <w:rFonts w:ascii="Arial" w:hAnsi="Arial"/>
                      <w:b/>
                      <w:bCs w:val="0"/>
                      <w:sz w:val="24"/>
                      <w:szCs w:val="24"/>
                    </w:rPr>
                    <w:t>1.4</w:t>
                  </w:r>
                </w:p>
              </w:tc>
              <w:tc>
                <w:tcPr>
                  <w:tcW w:w="0" w:type="auto"/>
                  <w:shd w:val="clear" w:color="auto" w:fill="auto"/>
                </w:tcPr>
                <w:p w:rsidR="00DF0798" w:rsidRPr="00CB78B3" w:rsidRDefault="00DF0798" w:rsidP="00DE5EAA">
                  <w:pPr>
                    <w:pStyle w:val="Heading1"/>
                    <w:pageBreakBefore/>
                    <w:rPr>
                      <w:rFonts w:ascii="Arial" w:hAnsi="Arial"/>
                      <w:sz w:val="24"/>
                      <w:szCs w:val="24"/>
                    </w:rPr>
                  </w:pPr>
                  <w:r w:rsidRPr="00CB78B3">
                    <w:rPr>
                      <w:rFonts w:ascii="Arial" w:hAnsi="Arial"/>
                      <w:sz w:val="24"/>
                      <w:szCs w:val="24"/>
                    </w:rPr>
                    <w:t>Training</w:t>
                  </w:r>
                </w:p>
              </w:tc>
              <w:tc>
                <w:tcPr>
                  <w:tcW w:w="0" w:type="auto"/>
                  <w:shd w:val="clear" w:color="auto" w:fill="auto"/>
                </w:tcPr>
                <w:p w:rsidR="00DF0798" w:rsidRPr="00CB78B3" w:rsidRDefault="00223BFB" w:rsidP="002E2E3A">
                  <w:pPr>
                    <w:pStyle w:val="Heading1"/>
                    <w:pageBreakBefore/>
                    <w:jc w:val="center"/>
                    <w:rPr>
                      <w:rFonts w:ascii="Arial" w:hAnsi="Arial"/>
                      <w:sz w:val="24"/>
                      <w:szCs w:val="24"/>
                    </w:rPr>
                  </w:pPr>
                  <w:r w:rsidRPr="00CB78B3">
                    <w:rPr>
                      <w:rFonts w:ascii="Arial" w:hAnsi="Arial"/>
                      <w:sz w:val="24"/>
                      <w:szCs w:val="24"/>
                    </w:rPr>
                    <w:t>13-1</w:t>
                  </w:r>
                  <w:r w:rsidR="002E2E3A">
                    <w:rPr>
                      <w:rFonts w:ascii="Arial" w:hAnsi="Arial"/>
                      <w:sz w:val="24"/>
                      <w:szCs w:val="24"/>
                    </w:rPr>
                    <w:t>4</w:t>
                  </w:r>
                </w:p>
              </w:tc>
            </w:tr>
            <w:tr w:rsidR="00DF0798" w:rsidRPr="00CB78B3" w:rsidTr="00DE5EAA">
              <w:tc>
                <w:tcPr>
                  <w:tcW w:w="0" w:type="auto"/>
                  <w:shd w:val="clear" w:color="auto" w:fill="auto"/>
                </w:tcPr>
                <w:p w:rsidR="00DF0798" w:rsidRPr="00CB78B3" w:rsidRDefault="00DF0798" w:rsidP="00DE5EAA">
                  <w:pPr>
                    <w:pStyle w:val="Heading1"/>
                    <w:pageBreakBefore/>
                    <w:rPr>
                      <w:rFonts w:ascii="Arial" w:hAnsi="Arial"/>
                      <w:b/>
                      <w:bCs w:val="0"/>
                      <w:sz w:val="24"/>
                      <w:szCs w:val="24"/>
                    </w:rPr>
                  </w:pPr>
                  <w:r w:rsidRPr="00CB78B3">
                    <w:rPr>
                      <w:rFonts w:ascii="Arial" w:hAnsi="Arial"/>
                      <w:b/>
                      <w:bCs w:val="0"/>
                      <w:sz w:val="24"/>
                      <w:szCs w:val="24"/>
                    </w:rPr>
                    <w:t>1.5</w:t>
                  </w:r>
                </w:p>
              </w:tc>
              <w:tc>
                <w:tcPr>
                  <w:tcW w:w="0" w:type="auto"/>
                  <w:shd w:val="clear" w:color="auto" w:fill="auto"/>
                </w:tcPr>
                <w:p w:rsidR="00DF0798" w:rsidRPr="00CB78B3" w:rsidRDefault="00DF0798" w:rsidP="00146434">
                  <w:pPr>
                    <w:pStyle w:val="Heading1"/>
                    <w:pageBreakBefore/>
                    <w:rPr>
                      <w:rFonts w:ascii="Arial" w:hAnsi="Arial"/>
                      <w:sz w:val="24"/>
                      <w:szCs w:val="24"/>
                    </w:rPr>
                  </w:pPr>
                  <w:r w:rsidRPr="00CB78B3">
                    <w:rPr>
                      <w:rFonts w:ascii="Arial" w:hAnsi="Arial"/>
                      <w:sz w:val="24"/>
                      <w:szCs w:val="24"/>
                    </w:rPr>
                    <w:t xml:space="preserve">Treasury </w:t>
                  </w:r>
                  <w:r w:rsidR="00146434" w:rsidRPr="00CB78B3">
                    <w:rPr>
                      <w:rFonts w:ascii="Arial" w:hAnsi="Arial"/>
                      <w:sz w:val="24"/>
                      <w:szCs w:val="24"/>
                    </w:rPr>
                    <w:t>M</w:t>
                  </w:r>
                  <w:r w:rsidRPr="00CB78B3">
                    <w:rPr>
                      <w:rFonts w:ascii="Arial" w:hAnsi="Arial"/>
                      <w:sz w:val="24"/>
                      <w:szCs w:val="24"/>
                    </w:rPr>
                    <w:t xml:space="preserve">anagement </w:t>
                  </w:r>
                  <w:r w:rsidR="00146434" w:rsidRPr="00CB78B3">
                    <w:rPr>
                      <w:rFonts w:ascii="Arial" w:hAnsi="Arial"/>
                      <w:sz w:val="24"/>
                      <w:szCs w:val="24"/>
                    </w:rPr>
                    <w:t>A</w:t>
                  </w:r>
                  <w:r w:rsidRPr="00CB78B3">
                    <w:rPr>
                      <w:rFonts w:ascii="Arial" w:hAnsi="Arial"/>
                      <w:sz w:val="24"/>
                      <w:szCs w:val="24"/>
                    </w:rPr>
                    <w:t>dviser</w:t>
                  </w:r>
                </w:p>
              </w:tc>
              <w:tc>
                <w:tcPr>
                  <w:tcW w:w="0" w:type="auto"/>
                  <w:shd w:val="clear" w:color="auto" w:fill="auto"/>
                </w:tcPr>
                <w:p w:rsidR="00DF0798" w:rsidRPr="00CB78B3" w:rsidRDefault="00223BFB" w:rsidP="002E2E3A">
                  <w:pPr>
                    <w:pStyle w:val="Heading1"/>
                    <w:pageBreakBefore/>
                    <w:jc w:val="center"/>
                    <w:rPr>
                      <w:rFonts w:ascii="Arial" w:hAnsi="Arial"/>
                      <w:sz w:val="24"/>
                      <w:szCs w:val="24"/>
                    </w:rPr>
                  </w:pPr>
                  <w:r w:rsidRPr="00CB78B3">
                    <w:rPr>
                      <w:rFonts w:ascii="Arial" w:hAnsi="Arial"/>
                      <w:sz w:val="24"/>
                      <w:szCs w:val="24"/>
                    </w:rPr>
                    <w:t>1</w:t>
                  </w:r>
                  <w:r w:rsidR="002E2E3A">
                    <w:rPr>
                      <w:rFonts w:ascii="Arial" w:hAnsi="Arial"/>
                      <w:sz w:val="24"/>
                      <w:szCs w:val="24"/>
                    </w:rPr>
                    <w:t>5-17</w:t>
                  </w:r>
                </w:p>
              </w:tc>
            </w:tr>
            <w:tr w:rsidR="00200DDB" w:rsidRPr="00CB78B3" w:rsidTr="00DE5EAA">
              <w:tc>
                <w:tcPr>
                  <w:tcW w:w="0" w:type="auto"/>
                  <w:shd w:val="clear" w:color="auto" w:fill="auto"/>
                </w:tcPr>
                <w:p w:rsidR="00200DDB" w:rsidRPr="00CB78B3" w:rsidRDefault="00200DDB" w:rsidP="00DE5EAA">
                  <w:pPr>
                    <w:pStyle w:val="Heading1"/>
                    <w:pageBreakBefore/>
                    <w:rPr>
                      <w:rFonts w:ascii="Arial" w:hAnsi="Arial"/>
                      <w:b/>
                      <w:bCs w:val="0"/>
                      <w:sz w:val="24"/>
                      <w:szCs w:val="24"/>
                    </w:rPr>
                  </w:pPr>
                  <w:r w:rsidRPr="00CB78B3">
                    <w:rPr>
                      <w:rFonts w:ascii="Arial" w:hAnsi="Arial"/>
                      <w:b/>
                      <w:bCs w:val="0"/>
                      <w:sz w:val="24"/>
                      <w:szCs w:val="24"/>
                    </w:rPr>
                    <w:t>1.</w:t>
                  </w:r>
                  <w:r w:rsidR="00DF0798" w:rsidRPr="00CB78B3">
                    <w:rPr>
                      <w:rFonts w:ascii="Arial" w:hAnsi="Arial"/>
                      <w:b/>
                      <w:bCs w:val="0"/>
                      <w:sz w:val="24"/>
                      <w:szCs w:val="24"/>
                    </w:rPr>
                    <w:t>6</w:t>
                  </w:r>
                  <w:r w:rsidRPr="00CB78B3">
                    <w:rPr>
                      <w:rFonts w:ascii="Arial" w:hAnsi="Arial"/>
                      <w:b/>
                      <w:bCs w:val="0"/>
                      <w:sz w:val="24"/>
                      <w:szCs w:val="24"/>
                    </w:rPr>
                    <w:t xml:space="preserve"> </w:t>
                  </w:r>
                </w:p>
              </w:tc>
              <w:tc>
                <w:tcPr>
                  <w:tcW w:w="0" w:type="auto"/>
                  <w:shd w:val="clear" w:color="auto" w:fill="auto"/>
                </w:tcPr>
                <w:p w:rsidR="00200DDB" w:rsidRPr="00CB78B3" w:rsidRDefault="00200DDB" w:rsidP="006A116B">
                  <w:pPr>
                    <w:pStyle w:val="Heading1"/>
                    <w:pageBreakBefore/>
                    <w:rPr>
                      <w:rFonts w:ascii="Arial" w:hAnsi="Arial"/>
                      <w:sz w:val="24"/>
                      <w:szCs w:val="24"/>
                    </w:rPr>
                  </w:pPr>
                  <w:r w:rsidRPr="00CB78B3">
                    <w:rPr>
                      <w:rFonts w:ascii="Arial" w:hAnsi="Arial"/>
                      <w:sz w:val="24"/>
                      <w:szCs w:val="24"/>
                    </w:rPr>
                    <w:t>Treasury Management Strategy for 201</w:t>
                  </w:r>
                  <w:r w:rsidR="006A116B">
                    <w:rPr>
                      <w:rFonts w:ascii="Arial" w:hAnsi="Arial"/>
                      <w:sz w:val="24"/>
                      <w:szCs w:val="24"/>
                    </w:rPr>
                    <w:t>8</w:t>
                  </w:r>
                  <w:r w:rsidRPr="00CB78B3">
                    <w:rPr>
                      <w:rFonts w:ascii="Arial" w:hAnsi="Arial"/>
                      <w:sz w:val="24"/>
                      <w:szCs w:val="24"/>
                    </w:rPr>
                    <w:t>-1</w:t>
                  </w:r>
                  <w:r w:rsidR="006A116B">
                    <w:rPr>
                      <w:rFonts w:ascii="Arial" w:hAnsi="Arial"/>
                      <w:sz w:val="24"/>
                      <w:szCs w:val="24"/>
                    </w:rPr>
                    <w:t>9</w:t>
                  </w:r>
                  <w:r w:rsidRPr="00CB78B3">
                    <w:rPr>
                      <w:rFonts w:ascii="Arial" w:hAnsi="Arial"/>
                      <w:sz w:val="24"/>
                      <w:szCs w:val="24"/>
                    </w:rPr>
                    <w:t xml:space="preserve"> </w:t>
                  </w:r>
                </w:p>
              </w:tc>
              <w:tc>
                <w:tcPr>
                  <w:tcW w:w="0" w:type="auto"/>
                  <w:shd w:val="clear" w:color="auto" w:fill="auto"/>
                </w:tcPr>
                <w:p w:rsidR="00200DDB" w:rsidRPr="00CB78B3" w:rsidRDefault="00223BFB" w:rsidP="002E2E3A">
                  <w:pPr>
                    <w:pStyle w:val="Heading1"/>
                    <w:pageBreakBefore/>
                    <w:jc w:val="center"/>
                    <w:rPr>
                      <w:rFonts w:ascii="Arial" w:hAnsi="Arial"/>
                      <w:sz w:val="24"/>
                      <w:szCs w:val="24"/>
                    </w:rPr>
                  </w:pPr>
                  <w:r w:rsidRPr="00CB78B3">
                    <w:rPr>
                      <w:rFonts w:ascii="Arial" w:hAnsi="Arial"/>
                      <w:sz w:val="24"/>
                      <w:szCs w:val="24"/>
                    </w:rPr>
                    <w:t>1</w:t>
                  </w:r>
                  <w:r w:rsidR="002E2E3A">
                    <w:rPr>
                      <w:rFonts w:ascii="Arial" w:hAnsi="Arial"/>
                      <w:sz w:val="24"/>
                      <w:szCs w:val="24"/>
                    </w:rPr>
                    <w:t>8-20</w:t>
                  </w:r>
                </w:p>
              </w:tc>
            </w:tr>
            <w:tr w:rsidR="00E96A69" w:rsidRPr="00CB78B3" w:rsidTr="00DE5EAA">
              <w:tc>
                <w:tcPr>
                  <w:tcW w:w="0" w:type="auto"/>
                  <w:shd w:val="clear" w:color="auto" w:fill="auto"/>
                </w:tcPr>
                <w:p w:rsidR="00E96A69" w:rsidRPr="00CB78B3" w:rsidRDefault="00E96A69" w:rsidP="00DE5EAA">
                  <w:pPr>
                    <w:pStyle w:val="Heading1"/>
                    <w:pageBreakBefore/>
                    <w:rPr>
                      <w:rFonts w:ascii="Arial" w:hAnsi="Arial"/>
                      <w:b/>
                      <w:bCs w:val="0"/>
                      <w:sz w:val="24"/>
                      <w:szCs w:val="24"/>
                    </w:rPr>
                  </w:pPr>
                  <w:r w:rsidRPr="00CB78B3">
                    <w:rPr>
                      <w:rFonts w:ascii="Arial" w:hAnsi="Arial"/>
                      <w:b/>
                      <w:bCs w:val="0"/>
                      <w:sz w:val="24"/>
                      <w:szCs w:val="24"/>
                    </w:rPr>
                    <w:t>1.7</w:t>
                  </w:r>
                </w:p>
              </w:tc>
              <w:tc>
                <w:tcPr>
                  <w:tcW w:w="0" w:type="auto"/>
                  <w:shd w:val="clear" w:color="auto" w:fill="auto"/>
                </w:tcPr>
                <w:p w:rsidR="00E96A69" w:rsidRPr="00CB78B3" w:rsidRDefault="00E96A69" w:rsidP="00DE5EAA">
                  <w:pPr>
                    <w:pStyle w:val="Heading1"/>
                    <w:pageBreakBefore/>
                    <w:rPr>
                      <w:rFonts w:ascii="Arial" w:hAnsi="Arial"/>
                      <w:sz w:val="24"/>
                      <w:szCs w:val="24"/>
                    </w:rPr>
                  </w:pPr>
                  <w:r w:rsidRPr="00CB78B3">
                    <w:rPr>
                      <w:rFonts w:ascii="Arial" w:hAnsi="Arial"/>
                      <w:sz w:val="24"/>
                      <w:szCs w:val="24"/>
                    </w:rPr>
                    <w:t>Options considered</w:t>
                  </w:r>
                </w:p>
              </w:tc>
              <w:tc>
                <w:tcPr>
                  <w:tcW w:w="0" w:type="auto"/>
                  <w:shd w:val="clear" w:color="auto" w:fill="auto"/>
                </w:tcPr>
                <w:p w:rsidR="00E96A69" w:rsidRPr="00CB78B3" w:rsidRDefault="00E96A69" w:rsidP="002E2E3A">
                  <w:pPr>
                    <w:pStyle w:val="Heading1"/>
                    <w:pageBreakBefore/>
                    <w:jc w:val="center"/>
                    <w:rPr>
                      <w:rFonts w:ascii="Arial" w:hAnsi="Arial"/>
                      <w:sz w:val="24"/>
                      <w:szCs w:val="24"/>
                    </w:rPr>
                  </w:pPr>
                  <w:r w:rsidRPr="00CB78B3">
                    <w:rPr>
                      <w:rFonts w:ascii="Arial" w:hAnsi="Arial"/>
                      <w:sz w:val="24"/>
                      <w:szCs w:val="24"/>
                    </w:rPr>
                    <w:t>2</w:t>
                  </w:r>
                  <w:r w:rsidR="002E2E3A">
                    <w:rPr>
                      <w:rFonts w:ascii="Arial" w:hAnsi="Arial"/>
                      <w:sz w:val="24"/>
                      <w:szCs w:val="24"/>
                    </w:rPr>
                    <w:t>1</w:t>
                  </w:r>
                </w:p>
              </w:tc>
            </w:tr>
            <w:tr w:rsidR="00200DDB" w:rsidRPr="00CB78B3" w:rsidTr="00DE5EAA">
              <w:trPr>
                <w:trHeight w:val="510"/>
              </w:trPr>
              <w:tc>
                <w:tcPr>
                  <w:tcW w:w="0" w:type="auto"/>
                  <w:shd w:val="clear" w:color="auto" w:fill="auto"/>
                </w:tcPr>
                <w:p w:rsidR="00200DDB" w:rsidRPr="00CB78B3" w:rsidRDefault="00200DDB" w:rsidP="00DE5EAA">
                  <w:pPr>
                    <w:pStyle w:val="Heading1"/>
                    <w:pageBreakBefore/>
                    <w:rPr>
                      <w:rFonts w:ascii="Arial" w:hAnsi="Arial"/>
                      <w:b/>
                      <w:bCs w:val="0"/>
                      <w:sz w:val="24"/>
                      <w:szCs w:val="24"/>
                    </w:rPr>
                  </w:pPr>
                </w:p>
              </w:tc>
              <w:tc>
                <w:tcPr>
                  <w:tcW w:w="0" w:type="auto"/>
                  <w:shd w:val="clear" w:color="auto" w:fill="auto"/>
                </w:tcPr>
                <w:p w:rsidR="00200DDB" w:rsidRPr="00CB78B3" w:rsidRDefault="00200DDB" w:rsidP="00DE5EAA">
                  <w:pPr>
                    <w:pStyle w:val="Heading1"/>
                    <w:pageBreakBefore/>
                    <w:rPr>
                      <w:rFonts w:ascii="Arial" w:hAnsi="Arial"/>
                      <w:sz w:val="24"/>
                      <w:szCs w:val="24"/>
                    </w:rPr>
                  </w:pPr>
                </w:p>
              </w:tc>
              <w:tc>
                <w:tcPr>
                  <w:tcW w:w="0" w:type="auto"/>
                  <w:shd w:val="clear" w:color="auto" w:fill="auto"/>
                </w:tcPr>
                <w:p w:rsidR="00200DDB" w:rsidRPr="00CB78B3" w:rsidRDefault="00200DDB" w:rsidP="00540474">
                  <w:pPr>
                    <w:pStyle w:val="Heading1"/>
                    <w:pageBreakBefore/>
                    <w:jc w:val="center"/>
                    <w:rPr>
                      <w:rFonts w:ascii="Arial" w:hAnsi="Arial"/>
                      <w:sz w:val="24"/>
                      <w:szCs w:val="24"/>
                    </w:rPr>
                  </w:pPr>
                </w:p>
              </w:tc>
            </w:tr>
            <w:tr w:rsidR="00200DDB" w:rsidRPr="00CB78B3" w:rsidTr="00DE5EAA">
              <w:trPr>
                <w:trHeight w:val="312"/>
              </w:trPr>
              <w:tc>
                <w:tcPr>
                  <w:tcW w:w="0" w:type="auto"/>
                  <w:shd w:val="clear" w:color="auto" w:fill="auto"/>
                </w:tcPr>
                <w:p w:rsidR="00200DDB" w:rsidRPr="00CB78B3" w:rsidRDefault="00200DDB" w:rsidP="00DE5EAA">
                  <w:pPr>
                    <w:pStyle w:val="Heading1"/>
                    <w:pageBreakBefore/>
                    <w:rPr>
                      <w:rFonts w:ascii="Arial" w:hAnsi="Arial"/>
                      <w:b/>
                      <w:bCs w:val="0"/>
                      <w:sz w:val="28"/>
                      <w:szCs w:val="28"/>
                    </w:rPr>
                  </w:pPr>
                  <w:r w:rsidRPr="00CB78B3">
                    <w:rPr>
                      <w:rFonts w:ascii="Arial" w:hAnsi="Arial"/>
                      <w:b/>
                      <w:bCs w:val="0"/>
                      <w:sz w:val="28"/>
                      <w:szCs w:val="28"/>
                    </w:rPr>
                    <w:t>2</w:t>
                  </w:r>
                </w:p>
              </w:tc>
              <w:tc>
                <w:tcPr>
                  <w:tcW w:w="0" w:type="auto"/>
                  <w:shd w:val="clear" w:color="auto" w:fill="auto"/>
                </w:tcPr>
                <w:p w:rsidR="00200DDB" w:rsidRPr="00CB78B3" w:rsidRDefault="00200DDB" w:rsidP="00DE5EAA">
                  <w:pPr>
                    <w:pStyle w:val="Heading1"/>
                    <w:pageBreakBefore/>
                    <w:rPr>
                      <w:rFonts w:ascii="Arial" w:hAnsi="Arial"/>
                      <w:b/>
                      <w:sz w:val="28"/>
                      <w:szCs w:val="28"/>
                    </w:rPr>
                  </w:pPr>
                  <w:r w:rsidRPr="00CB78B3">
                    <w:rPr>
                      <w:rFonts w:ascii="Arial" w:hAnsi="Arial"/>
                      <w:b/>
                      <w:sz w:val="28"/>
                      <w:szCs w:val="28"/>
                    </w:rPr>
                    <w:t xml:space="preserve">CAPITAL </w:t>
                  </w:r>
                  <w:r w:rsidR="00F76E59" w:rsidRPr="00CB78B3">
                    <w:rPr>
                      <w:rFonts w:ascii="Arial" w:hAnsi="Arial"/>
                      <w:b/>
                      <w:sz w:val="28"/>
                      <w:szCs w:val="28"/>
                    </w:rPr>
                    <w:t>ISSUES</w:t>
                  </w:r>
                </w:p>
              </w:tc>
              <w:tc>
                <w:tcPr>
                  <w:tcW w:w="0" w:type="auto"/>
                  <w:shd w:val="clear" w:color="auto" w:fill="auto"/>
                </w:tcPr>
                <w:p w:rsidR="00200DDB" w:rsidRPr="00CB78B3" w:rsidRDefault="00223BFB" w:rsidP="002E2E3A">
                  <w:pPr>
                    <w:pStyle w:val="Heading1"/>
                    <w:pageBreakBefore/>
                    <w:jc w:val="center"/>
                    <w:rPr>
                      <w:rFonts w:ascii="Arial" w:hAnsi="Arial"/>
                      <w:b/>
                      <w:sz w:val="28"/>
                      <w:szCs w:val="28"/>
                    </w:rPr>
                  </w:pPr>
                  <w:r w:rsidRPr="00CB78B3">
                    <w:rPr>
                      <w:rFonts w:ascii="Arial" w:hAnsi="Arial"/>
                      <w:b/>
                      <w:sz w:val="28"/>
                      <w:szCs w:val="28"/>
                    </w:rPr>
                    <w:t>2</w:t>
                  </w:r>
                  <w:r w:rsidR="002E2E3A">
                    <w:rPr>
                      <w:rFonts w:ascii="Arial" w:hAnsi="Arial"/>
                      <w:b/>
                      <w:sz w:val="28"/>
                      <w:szCs w:val="28"/>
                    </w:rPr>
                    <w:t>2-31</w:t>
                  </w:r>
                </w:p>
              </w:tc>
            </w:tr>
            <w:tr w:rsidR="00200DDB" w:rsidRPr="00CB78B3" w:rsidTr="00DE5EAA">
              <w:tc>
                <w:tcPr>
                  <w:tcW w:w="0" w:type="auto"/>
                  <w:shd w:val="clear" w:color="auto" w:fill="auto"/>
                </w:tcPr>
                <w:p w:rsidR="00200DDB" w:rsidRPr="00CB78B3" w:rsidRDefault="00200DDB" w:rsidP="00DE5EAA">
                  <w:pPr>
                    <w:pStyle w:val="Heading1"/>
                    <w:pageBreakBefore/>
                    <w:rPr>
                      <w:rFonts w:ascii="Arial" w:hAnsi="Arial"/>
                      <w:b/>
                      <w:bCs w:val="0"/>
                      <w:sz w:val="24"/>
                      <w:szCs w:val="24"/>
                    </w:rPr>
                  </w:pPr>
                  <w:r w:rsidRPr="00CB78B3">
                    <w:rPr>
                      <w:rFonts w:ascii="Arial" w:hAnsi="Arial"/>
                      <w:b/>
                      <w:bCs w:val="0"/>
                      <w:sz w:val="24"/>
                      <w:szCs w:val="24"/>
                    </w:rPr>
                    <w:t>2.1</w:t>
                  </w:r>
                </w:p>
              </w:tc>
              <w:tc>
                <w:tcPr>
                  <w:tcW w:w="0" w:type="auto"/>
                  <w:shd w:val="clear" w:color="auto" w:fill="auto"/>
                </w:tcPr>
                <w:p w:rsidR="00200DDB" w:rsidRPr="00CB78B3" w:rsidRDefault="00200DDB" w:rsidP="006A116B">
                  <w:pPr>
                    <w:pStyle w:val="Heading1"/>
                    <w:pageBreakBefore/>
                    <w:rPr>
                      <w:rFonts w:ascii="Arial" w:hAnsi="Arial"/>
                      <w:sz w:val="24"/>
                      <w:szCs w:val="24"/>
                    </w:rPr>
                  </w:pPr>
                  <w:r w:rsidRPr="00CB78B3">
                    <w:rPr>
                      <w:rFonts w:ascii="Arial" w:hAnsi="Arial"/>
                      <w:sz w:val="24"/>
                      <w:szCs w:val="24"/>
                    </w:rPr>
                    <w:t xml:space="preserve">Capital </w:t>
                  </w:r>
                  <w:r w:rsidR="00C551EE" w:rsidRPr="00CB78B3">
                    <w:rPr>
                      <w:rFonts w:ascii="Arial" w:hAnsi="Arial"/>
                      <w:sz w:val="24"/>
                      <w:szCs w:val="24"/>
                    </w:rPr>
                    <w:t>programme</w:t>
                  </w:r>
                  <w:r w:rsidR="00F301FB" w:rsidRPr="00CB78B3">
                    <w:rPr>
                      <w:rFonts w:ascii="Arial" w:hAnsi="Arial"/>
                      <w:sz w:val="24"/>
                      <w:szCs w:val="24"/>
                    </w:rPr>
                    <w:t xml:space="preserve"> and capital prudential indicators 201</w:t>
                  </w:r>
                  <w:r w:rsidR="006A116B">
                    <w:rPr>
                      <w:rFonts w:ascii="Arial" w:hAnsi="Arial"/>
                      <w:sz w:val="24"/>
                      <w:szCs w:val="24"/>
                    </w:rPr>
                    <w:t>8</w:t>
                  </w:r>
                  <w:r w:rsidR="00F301FB" w:rsidRPr="00CB78B3">
                    <w:rPr>
                      <w:rFonts w:ascii="Arial" w:hAnsi="Arial"/>
                      <w:sz w:val="24"/>
                      <w:szCs w:val="24"/>
                    </w:rPr>
                    <w:t>-1</w:t>
                  </w:r>
                  <w:r w:rsidR="006A116B">
                    <w:rPr>
                      <w:rFonts w:ascii="Arial" w:hAnsi="Arial"/>
                      <w:sz w:val="24"/>
                      <w:szCs w:val="24"/>
                    </w:rPr>
                    <w:t>9</w:t>
                  </w:r>
                  <w:r w:rsidR="0037182E">
                    <w:rPr>
                      <w:rFonts w:ascii="Arial" w:hAnsi="Arial"/>
                      <w:sz w:val="24"/>
                      <w:szCs w:val="24"/>
                    </w:rPr>
                    <w:t xml:space="preserve"> </w:t>
                  </w:r>
                  <w:r w:rsidR="00F301FB" w:rsidRPr="00CB78B3">
                    <w:rPr>
                      <w:rFonts w:ascii="Arial" w:hAnsi="Arial"/>
                      <w:sz w:val="24"/>
                      <w:szCs w:val="24"/>
                    </w:rPr>
                    <w:t>to 20</w:t>
                  </w:r>
                  <w:r w:rsidR="006A116B">
                    <w:rPr>
                      <w:rFonts w:ascii="Arial" w:hAnsi="Arial"/>
                      <w:sz w:val="24"/>
                      <w:szCs w:val="24"/>
                    </w:rPr>
                    <w:t>20</w:t>
                  </w:r>
                  <w:r w:rsidR="00F301FB" w:rsidRPr="00CB78B3">
                    <w:rPr>
                      <w:rFonts w:ascii="Arial" w:hAnsi="Arial"/>
                      <w:sz w:val="24"/>
                      <w:szCs w:val="24"/>
                    </w:rPr>
                    <w:t>-2</w:t>
                  </w:r>
                  <w:r w:rsidR="006A116B">
                    <w:rPr>
                      <w:rFonts w:ascii="Arial" w:hAnsi="Arial"/>
                      <w:sz w:val="24"/>
                      <w:szCs w:val="24"/>
                    </w:rPr>
                    <w:t>1</w:t>
                  </w:r>
                </w:p>
              </w:tc>
              <w:tc>
                <w:tcPr>
                  <w:tcW w:w="0" w:type="auto"/>
                  <w:shd w:val="clear" w:color="auto" w:fill="auto"/>
                </w:tcPr>
                <w:p w:rsidR="00200DDB" w:rsidRPr="00CB78B3" w:rsidRDefault="002E2E3A" w:rsidP="002E2E3A">
                  <w:pPr>
                    <w:pStyle w:val="Heading1"/>
                    <w:pageBreakBefore/>
                    <w:jc w:val="center"/>
                    <w:rPr>
                      <w:rFonts w:ascii="Arial" w:hAnsi="Arial"/>
                      <w:sz w:val="24"/>
                      <w:szCs w:val="24"/>
                    </w:rPr>
                  </w:pPr>
                  <w:r>
                    <w:rPr>
                      <w:rFonts w:ascii="Arial" w:hAnsi="Arial"/>
                      <w:sz w:val="24"/>
                      <w:szCs w:val="24"/>
                    </w:rPr>
                    <w:t>23</w:t>
                  </w:r>
                </w:p>
              </w:tc>
            </w:tr>
            <w:tr w:rsidR="00200DDB" w:rsidRPr="00CB78B3" w:rsidTr="00DE5EAA">
              <w:tc>
                <w:tcPr>
                  <w:tcW w:w="0" w:type="auto"/>
                  <w:shd w:val="clear" w:color="auto" w:fill="auto"/>
                </w:tcPr>
                <w:p w:rsidR="00200DDB" w:rsidRPr="00CB78B3" w:rsidRDefault="00200DDB" w:rsidP="00DE5EAA">
                  <w:pPr>
                    <w:pStyle w:val="Heading1"/>
                    <w:pageBreakBefore/>
                    <w:rPr>
                      <w:rFonts w:ascii="Arial" w:hAnsi="Arial"/>
                      <w:b/>
                      <w:bCs w:val="0"/>
                      <w:sz w:val="24"/>
                      <w:szCs w:val="24"/>
                    </w:rPr>
                  </w:pPr>
                  <w:r w:rsidRPr="00CB78B3">
                    <w:rPr>
                      <w:rFonts w:ascii="Arial" w:hAnsi="Arial"/>
                      <w:b/>
                      <w:bCs w:val="0"/>
                      <w:sz w:val="24"/>
                      <w:szCs w:val="24"/>
                    </w:rPr>
                    <w:t>2.2</w:t>
                  </w:r>
                </w:p>
              </w:tc>
              <w:tc>
                <w:tcPr>
                  <w:tcW w:w="0" w:type="auto"/>
                  <w:shd w:val="clear" w:color="auto" w:fill="auto"/>
                </w:tcPr>
                <w:p w:rsidR="00200DDB" w:rsidRPr="00CB78B3" w:rsidRDefault="00200DDB" w:rsidP="00DE5EAA">
                  <w:pPr>
                    <w:pStyle w:val="Heading1"/>
                    <w:pageBreakBefore/>
                    <w:rPr>
                      <w:rFonts w:ascii="Arial" w:hAnsi="Arial"/>
                      <w:sz w:val="24"/>
                      <w:szCs w:val="24"/>
                    </w:rPr>
                  </w:pPr>
                  <w:r w:rsidRPr="00CB78B3">
                    <w:rPr>
                      <w:rFonts w:ascii="Arial" w:hAnsi="Arial"/>
                      <w:sz w:val="24"/>
                      <w:szCs w:val="24"/>
                    </w:rPr>
                    <w:t>Capital Financing Requirement</w:t>
                  </w:r>
                </w:p>
              </w:tc>
              <w:tc>
                <w:tcPr>
                  <w:tcW w:w="0" w:type="auto"/>
                  <w:shd w:val="clear" w:color="auto" w:fill="auto"/>
                </w:tcPr>
                <w:p w:rsidR="00200DDB" w:rsidRPr="00CB78B3" w:rsidRDefault="00223BFB" w:rsidP="002E2E3A">
                  <w:pPr>
                    <w:pStyle w:val="Heading1"/>
                    <w:pageBreakBefore/>
                    <w:jc w:val="center"/>
                    <w:rPr>
                      <w:rFonts w:ascii="Arial" w:hAnsi="Arial"/>
                      <w:sz w:val="24"/>
                      <w:szCs w:val="24"/>
                    </w:rPr>
                  </w:pPr>
                  <w:r w:rsidRPr="00CB78B3">
                    <w:rPr>
                      <w:rFonts w:ascii="Arial" w:hAnsi="Arial"/>
                      <w:sz w:val="24"/>
                      <w:szCs w:val="24"/>
                    </w:rPr>
                    <w:t>2</w:t>
                  </w:r>
                  <w:r w:rsidR="002E2E3A">
                    <w:rPr>
                      <w:rFonts w:ascii="Arial" w:hAnsi="Arial"/>
                      <w:sz w:val="24"/>
                      <w:szCs w:val="24"/>
                    </w:rPr>
                    <w:t>4-27</w:t>
                  </w:r>
                </w:p>
              </w:tc>
            </w:tr>
            <w:tr w:rsidR="00360A4C" w:rsidRPr="00CB78B3" w:rsidTr="00DE5EAA">
              <w:tc>
                <w:tcPr>
                  <w:tcW w:w="0" w:type="auto"/>
                  <w:shd w:val="clear" w:color="auto" w:fill="auto"/>
                </w:tcPr>
                <w:p w:rsidR="00360A4C" w:rsidRPr="00CB78B3" w:rsidRDefault="00360A4C" w:rsidP="00DE5EAA">
                  <w:pPr>
                    <w:pStyle w:val="Heading1"/>
                    <w:pageBreakBefore/>
                    <w:rPr>
                      <w:rFonts w:ascii="Arial" w:hAnsi="Arial"/>
                      <w:b/>
                      <w:bCs w:val="0"/>
                      <w:sz w:val="24"/>
                      <w:szCs w:val="24"/>
                    </w:rPr>
                  </w:pPr>
                  <w:r w:rsidRPr="00CB78B3">
                    <w:rPr>
                      <w:rFonts w:ascii="Arial" w:hAnsi="Arial"/>
                      <w:b/>
                      <w:bCs w:val="0"/>
                      <w:sz w:val="24"/>
                      <w:szCs w:val="24"/>
                    </w:rPr>
                    <w:t>2.3</w:t>
                  </w:r>
                </w:p>
              </w:tc>
              <w:tc>
                <w:tcPr>
                  <w:tcW w:w="0" w:type="auto"/>
                  <w:shd w:val="clear" w:color="auto" w:fill="auto"/>
                </w:tcPr>
                <w:p w:rsidR="00360A4C" w:rsidRPr="00CB78B3" w:rsidRDefault="00360A4C" w:rsidP="00DE5EAA">
                  <w:pPr>
                    <w:pStyle w:val="Heading1"/>
                    <w:pageBreakBefore/>
                    <w:rPr>
                      <w:rFonts w:ascii="Arial" w:hAnsi="Arial"/>
                      <w:sz w:val="24"/>
                      <w:szCs w:val="24"/>
                    </w:rPr>
                  </w:pPr>
                  <w:r w:rsidRPr="00CB78B3">
                    <w:rPr>
                      <w:rFonts w:ascii="Arial" w:hAnsi="Arial"/>
                      <w:sz w:val="24"/>
                      <w:szCs w:val="24"/>
                    </w:rPr>
                    <w:t>Minimum Revenue Provision</w:t>
                  </w:r>
                  <w:r w:rsidR="00146434" w:rsidRPr="00CB78B3">
                    <w:rPr>
                      <w:rFonts w:ascii="Arial" w:hAnsi="Arial"/>
                      <w:sz w:val="24"/>
                      <w:szCs w:val="24"/>
                    </w:rPr>
                    <w:t xml:space="preserve"> (MRP)</w:t>
                  </w:r>
                  <w:r w:rsidRPr="00CB78B3">
                    <w:rPr>
                      <w:rFonts w:ascii="Arial" w:hAnsi="Arial"/>
                      <w:sz w:val="24"/>
                      <w:szCs w:val="24"/>
                    </w:rPr>
                    <w:t xml:space="preserve"> Policy </w:t>
                  </w:r>
                  <w:r w:rsidR="00316AC8" w:rsidRPr="00CB78B3">
                    <w:rPr>
                      <w:rFonts w:ascii="Arial" w:hAnsi="Arial"/>
                      <w:sz w:val="24"/>
                      <w:szCs w:val="24"/>
                    </w:rPr>
                    <w:t>Statement</w:t>
                  </w:r>
                </w:p>
              </w:tc>
              <w:tc>
                <w:tcPr>
                  <w:tcW w:w="0" w:type="auto"/>
                  <w:shd w:val="clear" w:color="auto" w:fill="auto"/>
                </w:tcPr>
                <w:p w:rsidR="00360A4C" w:rsidRPr="00CB78B3" w:rsidRDefault="00223BFB" w:rsidP="002E2E3A">
                  <w:pPr>
                    <w:pStyle w:val="Heading1"/>
                    <w:pageBreakBefore/>
                    <w:jc w:val="center"/>
                    <w:rPr>
                      <w:rFonts w:ascii="Arial" w:hAnsi="Arial"/>
                      <w:sz w:val="24"/>
                      <w:szCs w:val="24"/>
                    </w:rPr>
                  </w:pPr>
                  <w:r w:rsidRPr="00CB78B3">
                    <w:rPr>
                      <w:rFonts w:ascii="Arial" w:hAnsi="Arial"/>
                      <w:sz w:val="24"/>
                      <w:szCs w:val="24"/>
                    </w:rPr>
                    <w:t>2</w:t>
                  </w:r>
                  <w:r w:rsidR="002E2E3A">
                    <w:rPr>
                      <w:rFonts w:ascii="Arial" w:hAnsi="Arial"/>
                      <w:sz w:val="24"/>
                      <w:szCs w:val="24"/>
                    </w:rPr>
                    <w:t>8-30</w:t>
                  </w:r>
                </w:p>
              </w:tc>
            </w:tr>
            <w:tr w:rsidR="00200DDB" w:rsidRPr="00CB78B3" w:rsidTr="00DE5EAA">
              <w:tc>
                <w:tcPr>
                  <w:tcW w:w="0" w:type="auto"/>
                  <w:shd w:val="clear" w:color="auto" w:fill="auto"/>
                </w:tcPr>
                <w:p w:rsidR="00200DDB" w:rsidRPr="00CB78B3" w:rsidRDefault="00200DDB" w:rsidP="00DE5EAA">
                  <w:pPr>
                    <w:pStyle w:val="Heading1"/>
                    <w:pageBreakBefore/>
                    <w:rPr>
                      <w:rFonts w:ascii="Arial" w:hAnsi="Arial"/>
                      <w:b/>
                      <w:bCs w:val="0"/>
                      <w:sz w:val="24"/>
                      <w:szCs w:val="24"/>
                    </w:rPr>
                  </w:pPr>
                  <w:r w:rsidRPr="00CB78B3">
                    <w:rPr>
                      <w:rFonts w:ascii="Arial" w:hAnsi="Arial"/>
                      <w:b/>
                      <w:bCs w:val="0"/>
                      <w:sz w:val="24"/>
                      <w:szCs w:val="24"/>
                    </w:rPr>
                    <w:t>2.</w:t>
                  </w:r>
                  <w:r w:rsidR="00360A4C" w:rsidRPr="00CB78B3">
                    <w:rPr>
                      <w:rFonts w:ascii="Arial" w:hAnsi="Arial"/>
                      <w:b/>
                      <w:bCs w:val="0"/>
                      <w:sz w:val="24"/>
                      <w:szCs w:val="24"/>
                    </w:rPr>
                    <w:t>4</w:t>
                  </w:r>
                </w:p>
              </w:tc>
              <w:tc>
                <w:tcPr>
                  <w:tcW w:w="0" w:type="auto"/>
                  <w:shd w:val="clear" w:color="auto" w:fill="auto"/>
                </w:tcPr>
                <w:p w:rsidR="00200DDB" w:rsidRPr="00CB78B3" w:rsidRDefault="00200DDB" w:rsidP="00DE5EAA">
                  <w:pPr>
                    <w:pStyle w:val="Heading1"/>
                    <w:pageBreakBefore/>
                    <w:rPr>
                      <w:rFonts w:ascii="Arial" w:hAnsi="Arial"/>
                      <w:sz w:val="24"/>
                      <w:szCs w:val="24"/>
                    </w:rPr>
                  </w:pPr>
                  <w:r w:rsidRPr="00CB78B3">
                    <w:rPr>
                      <w:rFonts w:ascii="Arial" w:hAnsi="Arial"/>
                      <w:sz w:val="24"/>
                      <w:szCs w:val="24"/>
                    </w:rPr>
                    <w:t>Core funds and expected investment balances</w:t>
                  </w:r>
                </w:p>
              </w:tc>
              <w:tc>
                <w:tcPr>
                  <w:tcW w:w="0" w:type="auto"/>
                  <w:shd w:val="clear" w:color="auto" w:fill="auto"/>
                </w:tcPr>
                <w:p w:rsidR="00200DDB" w:rsidRPr="00CB78B3" w:rsidRDefault="00CB78B3" w:rsidP="00CB78B3">
                  <w:pPr>
                    <w:pStyle w:val="Heading1"/>
                    <w:pageBreakBefore/>
                    <w:jc w:val="center"/>
                    <w:rPr>
                      <w:rFonts w:ascii="Arial" w:hAnsi="Arial"/>
                      <w:sz w:val="24"/>
                      <w:szCs w:val="24"/>
                    </w:rPr>
                  </w:pPr>
                  <w:r w:rsidRPr="00CB78B3">
                    <w:rPr>
                      <w:rFonts w:ascii="Arial" w:hAnsi="Arial"/>
                      <w:sz w:val="24"/>
                      <w:szCs w:val="24"/>
                    </w:rPr>
                    <w:t>3</w:t>
                  </w:r>
                  <w:r w:rsidR="002E2E3A">
                    <w:rPr>
                      <w:rFonts w:ascii="Arial" w:hAnsi="Arial"/>
                      <w:sz w:val="24"/>
                      <w:szCs w:val="24"/>
                    </w:rPr>
                    <w:t>1</w:t>
                  </w:r>
                </w:p>
              </w:tc>
            </w:tr>
            <w:tr w:rsidR="00200DDB" w:rsidRPr="00CB78B3" w:rsidTr="00DE5EAA">
              <w:trPr>
                <w:trHeight w:val="510"/>
              </w:trPr>
              <w:tc>
                <w:tcPr>
                  <w:tcW w:w="0" w:type="auto"/>
                  <w:shd w:val="clear" w:color="auto" w:fill="auto"/>
                </w:tcPr>
                <w:p w:rsidR="00200DDB" w:rsidRPr="00CB78B3" w:rsidRDefault="00200DDB" w:rsidP="00DE5EAA">
                  <w:pPr>
                    <w:pStyle w:val="Heading1"/>
                    <w:pageBreakBefore/>
                    <w:rPr>
                      <w:rFonts w:ascii="Arial" w:hAnsi="Arial"/>
                      <w:b/>
                      <w:bCs w:val="0"/>
                      <w:sz w:val="24"/>
                      <w:szCs w:val="24"/>
                    </w:rPr>
                  </w:pPr>
                </w:p>
              </w:tc>
              <w:tc>
                <w:tcPr>
                  <w:tcW w:w="0" w:type="auto"/>
                  <w:shd w:val="clear" w:color="auto" w:fill="auto"/>
                </w:tcPr>
                <w:p w:rsidR="00200DDB" w:rsidRPr="00CB78B3" w:rsidRDefault="00200DDB" w:rsidP="00DE5EAA">
                  <w:pPr>
                    <w:pStyle w:val="Heading1"/>
                    <w:pageBreakBefore/>
                    <w:rPr>
                      <w:rFonts w:ascii="Arial" w:hAnsi="Arial"/>
                      <w:sz w:val="24"/>
                      <w:szCs w:val="24"/>
                    </w:rPr>
                  </w:pPr>
                </w:p>
              </w:tc>
              <w:tc>
                <w:tcPr>
                  <w:tcW w:w="0" w:type="auto"/>
                  <w:shd w:val="clear" w:color="auto" w:fill="auto"/>
                </w:tcPr>
                <w:p w:rsidR="00200DDB" w:rsidRPr="00CB78B3" w:rsidRDefault="00200DDB" w:rsidP="00540474">
                  <w:pPr>
                    <w:pStyle w:val="Heading1"/>
                    <w:pageBreakBefore/>
                    <w:jc w:val="center"/>
                    <w:rPr>
                      <w:rFonts w:ascii="Arial" w:hAnsi="Arial"/>
                      <w:sz w:val="24"/>
                      <w:szCs w:val="24"/>
                    </w:rPr>
                  </w:pPr>
                </w:p>
              </w:tc>
            </w:tr>
            <w:tr w:rsidR="00200DDB" w:rsidRPr="00CB78B3" w:rsidTr="00DE5EAA">
              <w:trPr>
                <w:trHeight w:val="312"/>
              </w:trPr>
              <w:tc>
                <w:tcPr>
                  <w:tcW w:w="0" w:type="auto"/>
                  <w:shd w:val="clear" w:color="auto" w:fill="auto"/>
                </w:tcPr>
                <w:p w:rsidR="00200DDB" w:rsidRPr="00CB78B3" w:rsidRDefault="007318DD" w:rsidP="00DE5EAA">
                  <w:pPr>
                    <w:pStyle w:val="Heading1"/>
                    <w:pageBreakBefore/>
                    <w:rPr>
                      <w:rFonts w:ascii="Arial" w:hAnsi="Arial"/>
                      <w:b/>
                      <w:bCs w:val="0"/>
                      <w:sz w:val="28"/>
                      <w:szCs w:val="28"/>
                    </w:rPr>
                  </w:pPr>
                  <w:r w:rsidRPr="00CB78B3">
                    <w:rPr>
                      <w:rFonts w:ascii="Arial" w:hAnsi="Arial"/>
                      <w:b/>
                      <w:bCs w:val="0"/>
                      <w:sz w:val="28"/>
                      <w:szCs w:val="28"/>
                    </w:rPr>
                    <w:t>3</w:t>
                  </w:r>
                </w:p>
              </w:tc>
              <w:tc>
                <w:tcPr>
                  <w:tcW w:w="0" w:type="auto"/>
                  <w:shd w:val="clear" w:color="auto" w:fill="auto"/>
                </w:tcPr>
                <w:p w:rsidR="00200DDB" w:rsidRPr="00CB78B3" w:rsidRDefault="007318DD" w:rsidP="00DE5EAA">
                  <w:pPr>
                    <w:pStyle w:val="Heading1"/>
                    <w:pageBreakBefore/>
                    <w:rPr>
                      <w:rFonts w:ascii="Arial" w:hAnsi="Arial"/>
                      <w:b/>
                      <w:sz w:val="28"/>
                      <w:szCs w:val="28"/>
                    </w:rPr>
                  </w:pPr>
                  <w:r w:rsidRPr="00CB78B3">
                    <w:rPr>
                      <w:rFonts w:ascii="Arial" w:hAnsi="Arial"/>
                      <w:b/>
                      <w:sz w:val="28"/>
                      <w:szCs w:val="28"/>
                    </w:rPr>
                    <w:t>BORROWING</w:t>
                  </w:r>
                </w:p>
              </w:tc>
              <w:tc>
                <w:tcPr>
                  <w:tcW w:w="0" w:type="auto"/>
                  <w:shd w:val="clear" w:color="auto" w:fill="auto"/>
                </w:tcPr>
                <w:p w:rsidR="00200DDB" w:rsidRPr="00CB78B3" w:rsidRDefault="00223BFB" w:rsidP="002E2E3A">
                  <w:pPr>
                    <w:pStyle w:val="Heading1"/>
                    <w:pageBreakBefore/>
                    <w:jc w:val="center"/>
                    <w:rPr>
                      <w:rFonts w:ascii="Arial" w:hAnsi="Arial"/>
                      <w:b/>
                      <w:sz w:val="28"/>
                      <w:szCs w:val="28"/>
                    </w:rPr>
                  </w:pPr>
                  <w:r w:rsidRPr="00CB78B3">
                    <w:rPr>
                      <w:rFonts w:ascii="Arial" w:hAnsi="Arial"/>
                      <w:b/>
                      <w:sz w:val="28"/>
                      <w:szCs w:val="28"/>
                    </w:rPr>
                    <w:t>3</w:t>
                  </w:r>
                  <w:r w:rsidR="002E2E3A">
                    <w:rPr>
                      <w:rFonts w:ascii="Arial" w:hAnsi="Arial"/>
                      <w:b/>
                      <w:sz w:val="28"/>
                      <w:szCs w:val="28"/>
                    </w:rPr>
                    <w:t>2-64</w:t>
                  </w:r>
                </w:p>
              </w:tc>
            </w:tr>
            <w:tr w:rsidR="00200DDB" w:rsidRPr="00CB78B3" w:rsidTr="00DE5EAA">
              <w:tc>
                <w:tcPr>
                  <w:tcW w:w="0" w:type="auto"/>
                  <w:shd w:val="clear" w:color="auto" w:fill="auto"/>
                </w:tcPr>
                <w:p w:rsidR="00200DDB" w:rsidRPr="00CB78B3" w:rsidRDefault="007318DD" w:rsidP="00DE5EAA">
                  <w:pPr>
                    <w:pStyle w:val="Heading1"/>
                    <w:pageBreakBefore/>
                    <w:rPr>
                      <w:rFonts w:ascii="Arial" w:hAnsi="Arial"/>
                      <w:b/>
                      <w:bCs w:val="0"/>
                      <w:sz w:val="24"/>
                      <w:szCs w:val="24"/>
                    </w:rPr>
                  </w:pPr>
                  <w:r w:rsidRPr="00CB78B3">
                    <w:rPr>
                      <w:rFonts w:ascii="Arial" w:hAnsi="Arial"/>
                      <w:b/>
                      <w:bCs w:val="0"/>
                      <w:sz w:val="24"/>
                      <w:szCs w:val="24"/>
                    </w:rPr>
                    <w:t>3.1</w:t>
                  </w:r>
                </w:p>
              </w:tc>
              <w:tc>
                <w:tcPr>
                  <w:tcW w:w="0" w:type="auto"/>
                  <w:shd w:val="clear" w:color="auto" w:fill="auto"/>
                </w:tcPr>
                <w:p w:rsidR="00200DDB" w:rsidRPr="00CB78B3" w:rsidRDefault="007318DD" w:rsidP="00DE5EAA">
                  <w:pPr>
                    <w:pStyle w:val="Heading1"/>
                    <w:pageBreakBefore/>
                    <w:rPr>
                      <w:rFonts w:ascii="Arial" w:hAnsi="Arial"/>
                      <w:sz w:val="24"/>
                      <w:szCs w:val="24"/>
                    </w:rPr>
                  </w:pPr>
                  <w:r w:rsidRPr="00CB78B3">
                    <w:rPr>
                      <w:rFonts w:ascii="Arial" w:hAnsi="Arial"/>
                      <w:sz w:val="24"/>
                      <w:szCs w:val="24"/>
                    </w:rPr>
                    <w:t xml:space="preserve">Current </w:t>
                  </w:r>
                  <w:r w:rsidR="00A664E4" w:rsidRPr="00CB78B3">
                    <w:rPr>
                      <w:rFonts w:ascii="Arial" w:hAnsi="Arial"/>
                      <w:sz w:val="24"/>
                      <w:szCs w:val="24"/>
                    </w:rPr>
                    <w:t xml:space="preserve">and estimated </w:t>
                  </w:r>
                  <w:r w:rsidRPr="00CB78B3">
                    <w:rPr>
                      <w:rFonts w:ascii="Arial" w:hAnsi="Arial"/>
                      <w:sz w:val="24"/>
                      <w:szCs w:val="24"/>
                    </w:rPr>
                    <w:t>portfolio position</w:t>
                  </w:r>
                </w:p>
              </w:tc>
              <w:tc>
                <w:tcPr>
                  <w:tcW w:w="0" w:type="auto"/>
                  <w:shd w:val="clear" w:color="auto" w:fill="auto"/>
                </w:tcPr>
                <w:p w:rsidR="00200DDB" w:rsidRPr="00CB78B3" w:rsidRDefault="00223BFB" w:rsidP="002E2E3A">
                  <w:pPr>
                    <w:pStyle w:val="Heading1"/>
                    <w:pageBreakBefore/>
                    <w:jc w:val="center"/>
                    <w:rPr>
                      <w:rFonts w:ascii="Arial" w:hAnsi="Arial"/>
                      <w:sz w:val="24"/>
                      <w:szCs w:val="24"/>
                    </w:rPr>
                  </w:pPr>
                  <w:r w:rsidRPr="00CB78B3">
                    <w:rPr>
                      <w:rFonts w:ascii="Arial" w:hAnsi="Arial"/>
                      <w:sz w:val="24"/>
                      <w:szCs w:val="24"/>
                    </w:rPr>
                    <w:t>3</w:t>
                  </w:r>
                  <w:r w:rsidR="002E2E3A">
                    <w:rPr>
                      <w:rFonts w:ascii="Arial" w:hAnsi="Arial"/>
                      <w:sz w:val="24"/>
                      <w:szCs w:val="24"/>
                    </w:rPr>
                    <w:t>3-40</w:t>
                  </w:r>
                </w:p>
              </w:tc>
            </w:tr>
            <w:tr w:rsidR="00200DDB" w:rsidRPr="00CB78B3" w:rsidTr="00DE5EAA">
              <w:tc>
                <w:tcPr>
                  <w:tcW w:w="0" w:type="auto"/>
                  <w:shd w:val="clear" w:color="auto" w:fill="auto"/>
                </w:tcPr>
                <w:p w:rsidR="00200DDB" w:rsidRPr="00CB78B3" w:rsidRDefault="007318DD" w:rsidP="00DE5EAA">
                  <w:pPr>
                    <w:pStyle w:val="Heading1"/>
                    <w:pageBreakBefore/>
                    <w:rPr>
                      <w:rFonts w:ascii="Arial" w:hAnsi="Arial"/>
                      <w:b/>
                      <w:bCs w:val="0"/>
                      <w:sz w:val="24"/>
                      <w:szCs w:val="24"/>
                    </w:rPr>
                  </w:pPr>
                  <w:r w:rsidRPr="00CB78B3">
                    <w:rPr>
                      <w:rFonts w:ascii="Arial" w:hAnsi="Arial"/>
                      <w:b/>
                      <w:bCs w:val="0"/>
                      <w:sz w:val="24"/>
                      <w:szCs w:val="24"/>
                    </w:rPr>
                    <w:t>3.2</w:t>
                  </w:r>
                </w:p>
              </w:tc>
              <w:tc>
                <w:tcPr>
                  <w:tcW w:w="0" w:type="auto"/>
                  <w:shd w:val="clear" w:color="auto" w:fill="auto"/>
                </w:tcPr>
                <w:p w:rsidR="00200DDB" w:rsidRPr="00CB78B3" w:rsidRDefault="007318DD" w:rsidP="00DE5EAA">
                  <w:pPr>
                    <w:pStyle w:val="Heading1"/>
                    <w:pageBreakBefore/>
                    <w:rPr>
                      <w:rFonts w:ascii="Arial" w:hAnsi="Arial"/>
                      <w:sz w:val="24"/>
                      <w:szCs w:val="24"/>
                    </w:rPr>
                  </w:pPr>
                  <w:r w:rsidRPr="00CB78B3">
                    <w:rPr>
                      <w:rFonts w:ascii="Arial" w:hAnsi="Arial"/>
                      <w:sz w:val="24"/>
                      <w:szCs w:val="24"/>
                    </w:rPr>
                    <w:t>Treasury indicators: limits to borrowing activity</w:t>
                  </w:r>
                </w:p>
              </w:tc>
              <w:tc>
                <w:tcPr>
                  <w:tcW w:w="0" w:type="auto"/>
                  <w:shd w:val="clear" w:color="auto" w:fill="auto"/>
                </w:tcPr>
                <w:p w:rsidR="00200DDB" w:rsidRPr="00CB78B3" w:rsidRDefault="00223BFB" w:rsidP="002E2E3A">
                  <w:pPr>
                    <w:pStyle w:val="Heading1"/>
                    <w:pageBreakBefore/>
                    <w:jc w:val="center"/>
                    <w:rPr>
                      <w:rFonts w:ascii="Arial" w:hAnsi="Arial"/>
                      <w:sz w:val="24"/>
                      <w:szCs w:val="24"/>
                    </w:rPr>
                  </w:pPr>
                  <w:r w:rsidRPr="00CB78B3">
                    <w:rPr>
                      <w:rFonts w:ascii="Arial" w:hAnsi="Arial"/>
                      <w:sz w:val="24"/>
                      <w:szCs w:val="24"/>
                    </w:rPr>
                    <w:t>4</w:t>
                  </w:r>
                  <w:r w:rsidR="002E2E3A">
                    <w:rPr>
                      <w:rFonts w:ascii="Arial" w:hAnsi="Arial"/>
                      <w:sz w:val="24"/>
                      <w:szCs w:val="24"/>
                    </w:rPr>
                    <w:t>1-45</w:t>
                  </w:r>
                </w:p>
              </w:tc>
            </w:tr>
            <w:tr w:rsidR="00200DDB" w:rsidRPr="00CB78B3" w:rsidTr="00DE5EAA">
              <w:tc>
                <w:tcPr>
                  <w:tcW w:w="0" w:type="auto"/>
                  <w:shd w:val="clear" w:color="auto" w:fill="auto"/>
                </w:tcPr>
                <w:p w:rsidR="00200DDB" w:rsidRPr="00CB78B3" w:rsidRDefault="007318DD" w:rsidP="00DE5EAA">
                  <w:pPr>
                    <w:pStyle w:val="Heading1"/>
                    <w:pageBreakBefore/>
                    <w:rPr>
                      <w:rFonts w:ascii="Arial" w:hAnsi="Arial"/>
                      <w:b/>
                      <w:bCs w:val="0"/>
                      <w:sz w:val="24"/>
                      <w:szCs w:val="24"/>
                    </w:rPr>
                  </w:pPr>
                  <w:r w:rsidRPr="00CB78B3">
                    <w:rPr>
                      <w:rFonts w:ascii="Arial" w:hAnsi="Arial"/>
                      <w:b/>
                      <w:bCs w:val="0"/>
                      <w:sz w:val="24"/>
                      <w:szCs w:val="24"/>
                    </w:rPr>
                    <w:t>3.3</w:t>
                  </w:r>
                </w:p>
              </w:tc>
              <w:tc>
                <w:tcPr>
                  <w:tcW w:w="0" w:type="auto"/>
                  <w:shd w:val="clear" w:color="auto" w:fill="auto"/>
                </w:tcPr>
                <w:p w:rsidR="00200DDB" w:rsidRPr="00CB78B3" w:rsidRDefault="007318DD" w:rsidP="00DE5EAA">
                  <w:pPr>
                    <w:pStyle w:val="Heading1"/>
                    <w:pageBreakBefore/>
                    <w:rPr>
                      <w:rFonts w:ascii="Arial" w:hAnsi="Arial"/>
                      <w:sz w:val="24"/>
                      <w:szCs w:val="24"/>
                    </w:rPr>
                  </w:pPr>
                  <w:r w:rsidRPr="00CB78B3">
                    <w:rPr>
                      <w:rFonts w:ascii="Arial" w:hAnsi="Arial"/>
                      <w:sz w:val="24"/>
                      <w:szCs w:val="24"/>
                    </w:rPr>
                    <w:t>Prospects for interest rates</w:t>
                  </w:r>
                  <w:r w:rsidR="009D502F" w:rsidRPr="00CB78B3">
                    <w:rPr>
                      <w:rFonts w:ascii="Arial" w:hAnsi="Arial"/>
                      <w:sz w:val="24"/>
                      <w:szCs w:val="24"/>
                    </w:rPr>
                    <w:t xml:space="preserve"> and economic commentary</w:t>
                  </w:r>
                </w:p>
              </w:tc>
              <w:tc>
                <w:tcPr>
                  <w:tcW w:w="0" w:type="auto"/>
                  <w:shd w:val="clear" w:color="auto" w:fill="auto"/>
                </w:tcPr>
                <w:p w:rsidR="00200DDB" w:rsidRPr="00CB78B3" w:rsidRDefault="00223BFB" w:rsidP="002E2E3A">
                  <w:pPr>
                    <w:pStyle w:val="Heading1"/>
                    <w:pageBreakBefore/>
                    <w:jc w:val="center"/>
                    <w:rPr>
                      <w:rFonts w:ascii="Arial" w:hAnsi="Arial"/>
                      <w:sz w:val="24"/>
                      <w:szCs w:val="24"/>
                    </w:rPr>
                  </w:pPr>
                  <w:r w:rsidRPr="00CB78B3">
                    <w:rPr>
                      <w:rFonts w:ascii="Arial" w:hAnsi="Arial"/>
                      <w:sz w:val="24"/>
                      <w:szCs w:val="24"/>
                    </w:rPr>
                    <w:t>4</w:t>
                  </w:r>
                  <w:r w:rsidR="002E2E3A">
                    <w:rPr>
                      <w:rFonts w:ascii="Arial" w:hAnsi="Arial"/>
                      <w:sz w:val="24"/>
                      <w:szCs w:val="24"/>
                    </w:rPr>
                    <w:t>6</w:t>
                  </w:r>
                </w:p>
              </w:tc>
            </w:tr>
            <w:tr w:rsidR="00200DDB" w:rsidRPr="00CB78B3" w:rsidTr="00DE5EAA">
              <w:tc>
                <w:tcPr>
                  <w:tcW w:w="0" w:type="auto"/>
                  <w:shd w:val="clear" w:color="auto" w:fill="auto"/>
                </w:tcPr>
                <w:p w:rsidR="00200DDB" w:rsidRPr="00CB78B3" w:rsidRDefault="007318DD" w:rsidP="00DE5EAA">
                  <w:pPr>
                    <w:pStyle w:val="Heading1"/>
                    <w:pageBreakBefore/>
                    <w:rPr>
                      <w:rFonts w:ascii="Arial" w:hAnsi="Arial"/>
                      <w:b/>
                      <w:bCs w:val="0"/>
                      <w:sz w:val="24"/>
                      <w:szCs w:val="24"/>
                    </w:rPr>
                  </w:pPr>
                  <w:r w:rsidRPr="00CB78B3">
                    <w:rPr>
                      <w:rFonts w:ascii="Arial" w:hAnsi="Arial"/>
                      <w:b/>
                      <w:bCs w:val="0"/>
                      <w:sz w:val="24"/>
                      <w:szCs w:val="24"/>
                    </w:rPr>
                    <w:t>3.4</w:t>
                  </w:r>
                </w:p>
              </w:tc>
              <w:tc>
                <w:tcPr>
                  <w:tcW w:w="0" w:type="auto"/>
                  <w:shd w:val="clear" w:color="auto" w:fill="auto"/>
                </w:tcPr>
                <w:p w:rsidR="00200DDB" w:rsidRPr="00CB78B3" w:rsidRDefault="007318DD" w:rsidP="00DE5EAA">
                  <w:pPr>
                    <w:pStyle w:val="Heading1"/>
                    <w:pageBreakBefore/>
                    <w:rPr>
                      <w:rFonts w:ascii="Arial" w:hAnsi="Arial"/>
                      <w:sz w:val="24"/>
                      <w:szCs w:val="24"/>
                    </w:rPr>
                  </w:pPr>
                  <w:r w:rsidRPr="00CB78B3">
                    <w:rPr>
                      <w:rFonts w:ascii="Arial" w:hAnsi="Arial"/>
                      <w:sz w:val="24"/>
                      <w:szCs w:val="24"/>
                    </w:rPr>
                    <w:t>Borrowing strategy</w:t>
                  </w:r>
                </w:p>
              </w:tc>
              <w:tc>
                <w:tcPr>
                  <w:tcW w:w="0" w:type="auto"/>
                  <w:shd w:val="clear" w:color="auto" w:fill="auto"/>
                </w:tcPr>
                <w:p w:rsidR="00200DDB" w:rsidRPr="00CB78B3" w:rsidRDefault="00223BFB" w:rsidP="002E2E3A">
                  <w:pPr>
                    <w:pStyle w:val="Heading1"/>
                    <w:pageBreakBefore/>
                    <w:jc w:val="center"/>
                    <w:rPr>
                      <w:rFonts w:ascii="Arial" w:hAnsi="Arial"/>
                      <w:sz w:val="24"/>
                      <w:szCs w:val="24"/>
                    </w:rPr>
                  </w:pPr>
                  <w:r w:rsidRPr="00CB78B3">
                    <w:rPr>
                      <w:rFonts w:ascii="Arial" w:hAnsi="Arial"/>
                      <w:sz w:val="24"/>
                      <w:szCs w:val="24"/>
                    </w:rPr>
                    <w:t>4</w:t>
                  </w:r>
                  <w:r w:rsidR="002E2E3A">
                    <w:rPr>
                      <w:rFonts w:ascii="Arial" w:hAnsi="Arial"/>
                      <w:sz w:val="24"/>
                      <w:szCs w:val="24"/>
                    </w:rPr>
                    <w:t>7-52</w:t>
                  </w:r>
                </w:p>
              </w:tc>
            </w:tr>
            <w:tr w:rsidR="007B3D79" w:rsidRPr="00CB78B3" w:rsidTr="00DE5EAA">
              <w:tc>
                <w:tcPr>
                  <w:tcW w:w="0" w:type="auto"/>
                  <w:shd w:val="clear" w:color="auto" w:fill="auto"/>
                </w:tcPr>
                <w:p w:rsidR="007B3D79" w:rsidRPr="00CB78B3" w:rsidRDefault="007B3D79" w:rsidP="00DE5EAA">
                  <w:pPr>
                    <w:pStyle w:val="Heading1"/>
                    <w:pageBreakBefore/>
                    <w:rPr>
                      <w:rFonts w:ascii="Arial" w:hAnsi="Arial"/>
                      <w:b/>
                      <w:bCs w:val="0"/>
                      <w:sz w:val="24"/>
                      <w:szCs w:val="24"/>
                    </w:rPr>
                  </w:pPr>
                  <w:r w:rsidRPr="00CB78B3">
                    <w:rPr>
                      <w:rFonts w:ascii="Arial" w:hAnsi="Arial"/>
                      <w:b/>
                      <w:bCs w:val="0"/>
                      <w:sz w:val="24"/>
                      <w:szCs w:val="24"/>
                    </w:rPr>
                    <w:t>3.5</w:t>
                  </w:r>
                </w:p>
              </w:tc>
              <w:tc>
                <w:tcPr>
                  <w:tcW w:w="0" w:type="auto"/>
                  <w:shd w:val="clear" w:color="auto" w:fill="auto"/>
                </w:tcPr>
                <w:p w:rsidR="007B3D79" w:rsidRPr="00CB78B3" w:rsidRDefault="007B3D79" w:rsidP="00DE5EAA">
                  <w:pPr>
                    <w:pStyle w:val="Heading1"/>
                    <w:pageBreakBefore/>
                    <w:rPr>
                      <w:rFonts w:ascii="Arial" w:hAnsi="Arial"/>
                      <w:sz w:val="24"/>
                      <w:szCs w:val="24"/>
                    </w:rPr>
                  </w:pPr>
                  <w:r w:rsidRPr="00CB78B3">
                    <w:rPr>
                      <w:rFonts w:ascii="Arial" w:hAnsi="Arial"/>
                      <w:sz w:val="24"/>
                      <w:szCs w:val="24"/>
                    </w:rPr>
                    <w:t>Treasury management limits on activity</w:t>
                  </w:r>
                </w:p>
              </w:tc>
              <w:tc>
                <w:tcPr>
                  <w:tcW w:w="0" w:type="auto"/>
                  <w:shd w:val="clear" w:color="auto" w:fill="auto"/>
                </w:tcPr>
                <w:p w:rsidR="007B3D79" w:rsidRPr="00CB78B3" w:rsidRDefault="00223BFB" w:rsidP="002E2E3A">
                  <w:pPr>
                    <w:pStyle w:val="Heading1"/>
                    <w:pageBreakBefore/>
                    <w:jc w:val="center"/>
                    <w:rPr>
                      <w:rFonts w:ascii="Arial" w:hAnsi="Arial"/>
                      <w:sz w:val="24"/>
                      <w:szCs w:val="24"/>
                    </w:rPr>
                  </w:pPr>
                  <w:r w:rsidRPr="00CB78B3">
                    <w:rPr>
                      <w:rFonts w:ascii="Arial" w:hAnsi="Arial"/>
                      <w:sz w:val="24"/>
                      <w:szCs w:val="24"/>
                    </w:rPr>
                    <w:t>5</w:t>
                  </w:r>
                  <w:r w:rsidR="002E2E3A">
                    <w:rPr>
                      <w:rFonts w:ascii="Arial" w:hAnsi="Arial"/>
                      <w:sz w:val="24"/>
                      <w:szCs w:val="24"/>
                    </w:rPr>
                    <w:t>3-58</w:t>
                  </w:r>
                </w:p>
              </w:tc>
            </w:tr>
            <w:tr w:rsidR="00200DDB" w:rsidRPr="00CB78B3" w:rsidTr="00DE5EAA">
              <w:tc>
                <w:tcPr>
                  <w:tcW w:w="0" w:type="auto"/>
                  <w:shd w:val="clear" w:color="auto" w:fill="auto"/>
                </w:tcPr>
                <w:p w:rsidR="00200DDB" w:rsidRPr="00CB78B3" w:rsidRDefault="007318DD" w:rsidP="00DE5EAA">
                  <w:pPr>
                    <w:pStyle w:val="Heading1"/>
                    <w:pageBreakBefore/>
                    <w:rPr>
                      <w:rFonts w:ascii="Arial" w:hAnsi="Arial"/>
                      <w:b/>
                      <w:bCs w:val="0"/>
                      <w:sz w:val="24"/>
                      <w:szCs w:val="24"/>
                    </w:rPr>
                  </w:pPr>
                  <w:r w:rsidRPr="00CB78B3">
                    <w:rPr>
                      <w:rFonts w:ascii="Arial" w:hAnsi="Arial"/>
                      <w:b/>
                      <w:bCs w:val="0"/>
                      <w:sz w:val="24"/>
                      <w:szCs w:val="24"/>
                    </w:rPr>
                    <w:t>3.</w:t>
                  </w:r>
                  <w:r w:rsidR="007B3D79" w:rsidRPr="00CB78B3">
                    <w:rPr>
                      <w:rFonts w:ascii="Arial" w:hAnsi="Arial"/>
                      <w:b/>
                      <w:bCs w:val="0"/>
                      <w:sz w:val="24"/>
                      <w:szCs w:val="24"/>
                    </w:rPr>
                    <w:t>6</w:t>
                  </w:r>
                </w:p>
              </w:tc>
              <w:tc>
                <w:tcPr>
                  <w:tcW w:w="0" w:type="auto"/>
                  <w:shd w:val="clear" w:color="auto" w:fill="auto"/>
                </w:tcPr>
                <w:p w:rsidR="00200DDB" w:rsidRPr="00CB78B3" w:rsidRDefault="007318DD" w:rsidP="00DE5EAA">
                  <w:pPr>
                    <w:pStyle w:val="Heading1"/>
                    <w:pageBreakBefore/>
                    <w:rPr>
                      <w:rFonts w:ascii="Arial" w:hAnsi="Arial"/>
                      <w:sz w:val="24"/>
                      <w:szCs w:val="24"/>
                    </w:rPr>
                  </w:pPr>
                  <w:r w:rsidRPr="00CB78B3">
                    <w:rPr>
                      <w:rFonts w:ascii="Arial" w:hAnsi="Arial"/>
                      <w:sz w:val="24"/>
                      <w:szCs w:val="24"/>
                    </w:rPr>
                    <w:t>Policy on borrowing in advance of need</w:t>
                  </w:r>
                </w:p>
              </w:tc>
              <w:tc>
                <w:tcPr>
                  <w:tcW w:w="0" w:type="auto"/>
                  <w:shd w:val="clear" w:color="auto" w:fill="auto"/>
                </w:tcPr>
                <w:p w:rsidR="00200DDB" w:rsidRPr="00CB78B3" w:rsidRDefault="002E2E3A" w:rsidP="002E2E3A">
                  <w:pPr>
                    <w:pStyle w:val="Heading1"/>
                    <w:pageBreakBefore/>
                    <w:jc w:val="center"/>
                    <w:rPr>
                      <w:rFonts w:ascii="Arial" w:hAnsi="Arial"/>
                      <w:sz w:val="24"/>
                      <w:szCs w:val="24"/>
                    </w:rPr>
                  </w:pPr>
                  <w:r>
                    <w:rPr>
                      <w:rFonts w:ascii="Arial" w:hAnsi="Arial"/>
                      <w:sz w:val="24"/>
                      <w:szCs w:val="24"/>
                    </w:rPr>
                    <w:t>59-60</w:t>
                  </w:r>
                </w:p>
              </w:tc>
            </w:tr>
            <w:tr w:rsidR="00200DDB" w:rsidRPr="00CB78B3" w:rsidTr="00DE5EAA">
              <w:tc>
                <w:tcPr>
                  <w:tcW w:w="0" w:type="auto"/>
                  <w:shd w:val="clear" w:color="auto" w:fill="auto"/>
                </w:tcPr>
                <w:p w:rsidR="00200DDB" w:rsidRPr="00CB78B3" w:rsidRDefault="007318DD" w:rsidP="00DE5EAA">
                  <w:pPr>
                    <w:pStyle w:val="Heading1"/>
                    <w:pageBreakBefore/>
                    <w:rPr>
                      <w:rFonts w:ascii="Arial" w:hAnsi="Arial"/>
                      <w:b/>
                      <w:bCs w:val="0"/>
                      <w:sz w:val="24"/>
                      <w:szCs w:val="24"/>
                    </w:rPr>
                  </w:pPr>
                  <w:r w:rsidRPr="00CB78B3">
                    <w:rPr>
                      <w:rFonts w:ascii="Arial" w:hAnsi="Arial"/>
                      <w:b/>
                      <w:bCs w:val="0"/>
                      <w:sz w:val="24"/>
                      <w:szCs w:val="24"/>
                    </w:rPr>
                    <w:t>3.</w:t>
                  </w:r>
                  <w:r w:rsidR="007B3D79" w:rsidRPr="00CB78B3">
                    <w:rPr>
                      <w:rFonts w:ascii="Arial" w:hAnsi="Arial"/>
                      <w:b/>
                      <w:bCs w:val="0"/>
                      <w:sz w:val="24"/>
                      <w:szCs w:val="24"/>
                    </w:rPr>
                    <w:t>7</w:t>
                  </w:r>
                </w:p>
              </w:tc>
              <w:tc>
                <w:tcPr>
                  <w:tcW w:w="0" w:type="auto"/>
                  <w:shd w:val="clear" w:color="auto" w:fill="auto"/>
                </w:tcPr>
                <w:p w:rsidR="00200DDB" w:rsidRPr="00CB78B3" w:rsidRDefault="007318DD" w:rsidP="00DE5EAA">
                  <w:pPr>
                    <w:pStyle w:val="Heading1"/>
                    <w:pageBreakBefore/>
                    <w:rPr>
                      <w:rFonts w:ascii="Arial" w:hAnsi="Arial"/>
                      <w:sz w:val="24"/>
                      <w:szCs w:val="24"/>
                    </w:rPr>
                  </w:pPr>
                  <w:r w:rsidRPr="00CB78B3">
                    <w:rPr>
                      <w:rFonts w:ascii="Arial" w:hAnsi="Arial"/>
                      <w:sz w:val="24"/>
                      <w:szCs w:val="24"/>
                    </w:rPr>
                    <w:t>Debt rescheduling</w:t>
                  </w:r>
                </w:p>
              </w:tc>
              <w:tc>
                <w:tcPr>
                  <w:tcW w:w="0" w:type="auto"/>
                  <w:shd w:val="clear" w:color="auto" w:fill="auto"/>
                </w:tcPr>
                <w:p w:rsidR="00200DDB" w:rsidRPr="00CB78B3" w:rsidRDefault="00223BFB" w:rsidP="002E2E3A">
                  <w:pPr>
                    <w:pStyle w:val="Heading1"/>
                    <w:pageBreakBefore/>
                    <w:jc w:val="center"/>
                    <w:rPr>
                      <w:rFonts w:ascii="Arial" w:hAnsi="Arial"/>
                      <w:sz w:val="24"/>
                      <w:szCs w:val="24"/>
                    </w:rPr>
                  </w:pPr>
                  <w:r w:rsidRPr="00CB78B3">
                    <w:rPr>
                      <w:rFonts w:ascii="Arial" w:hAnsi="Arial"/>
                      <w:sz w:val="24"/>
                      <w:szCs w:val="24"/>
                    </w:rPr>
                    <w:t>6</w:t>
                  </w:r>
                  <w:r w:rsidR="002E2E3A">
                    <w:rPr>
                      <w:rFonts w:ascii="Arial" w:hAnsi="Arial"/>
                      <w:sz w:val="24"/>
                      <w:szCs w:val="24"/>
                    </w:rPr>
                    <w:t>1-64</w:t>
                  </w:r>
                </w:p>
              </w:tc>
            </w:tr>
            <w:tr w:rsidR="00200DDB" w:rsidRPr="00CB78B3" w:rsidTr="00DE5EAA">
              <w:trPr>
                <w:trHeight w:val="510"/>
              </w:trPr>
              <w:tc>
                <w:tcPr>
                  <w:tcW w:w="0" w:type="auto"/>
                  <w:shd w:val="clear" w:color="auto" w:fill="auto"/>
                </w:tcPr>
                <w:p w:rsidR="00200DDB" w:rsidRPr="00CB78B3" w:rsidRDefault="00200DDB" w:rsidP="00DE5EAA">
                  <w:pPr>
                    <w:pStyle w:val="Heading1"/>
                    <w:pageBreakBefore/>
                    <w:rPr>
                      <w:rFonts w:ascii="Arial" w:hAnsi="Arial"/>
                      <w:b/>
                      <w:bCs w:val="0"/>
                      <w:sz w:val="28"/>
                      <w:szCs w:val="28"/>
                    </w:rPr>
                  </w:pPr>
                </w:p>
              </w:tc>
              <w:tc>
                <w:tcPr>
                  <w:tcW w:w="0" w:type="auto"/>
                  <w:shd w:val="clear" w:color="auto" w:fill="auto"/>
                </w:tcPr>
                <w:p w:rsidR="00200DDB" w:rsidRPr="00CB78B3" w:rsidRDefault="00200DDB" w:rsidP="00DE5EAA">
                  <w:pPr>
                    <w:pStyle w:val="Heading1"/>
                    <w:pageBreakBefore/>
                    <w:rPr>
                      <w:rFonts w:ascii="Arial" w:hAnsi="Arial"/>
                      <w:sz w:val="28"/>
                      <w:szCs w:val="28"/>
                    </w:rPr>
                  </w:pPr>
                </w:p>
              </w:tc>
              <w:tc>
                <w:tcPr>
                  <w:tcW w:w="0" w:type="auto"/>
                  <w:shd w:val="clear" w:color="auto" w:fill="auto"/>
                </w:tcPr>
                <w:p w:rsidR="00200DDB" w:rsidRPr="00CB78B3" w:rsidRDefault="00200DDB" w:rsidP="00540474">
                  <w:pPr>
                    <w:pStyle w:val="Heading1"/>
                    <w:pageBreakBefore/>
                    <w:jc w:val="center"/>
                    <w:rPr>
                      <w:rFonts w:ascii="Arial" w:hAnsi="Arial"/>
                      <w:sz w:val="28"/>
                      <w:szCs w:val="28"/>
                    </w:rPr>
                  </w:pPr>
                </w:p>
              </w:tc>
            </w:tr>
            <w:tr w:rsidR="007318DD" w:rsidRPr="00CB78B3" w:rsidTr="00DE5EAA">
              <w:trPr>
                <w:trHeight w:val="312"/>
              </w:trPr>
              <w:tc>
                <w:tcPr>
                  <w:tcW w:w="0" w:type="auto"/>
                  <w:shd w:val="clear" w:color="auto" w:fill="auto"/>
                </w:tcPr>
                <w:p w:rsidR="007318DD" w:rsidRPr="00CB78B3" w:rsidRDefault="007318DD" w:rsidP="00DE5EAA">
                  <w:pPr>
                    <w:pStyle w:val="Heading1"/>
                    <w:pageBreakBefore/>
                    <w:rPr>
                      <w:rFonts w:ascii="Arial" w:hAnsi="Arial"/>
                      <w:b/>
                      <w:bCs w:val="0"/>
                      <w:sz w:val="28"/>
                      <w:szCs w:val="28"/>
                    </w:rPr>
                  </w:pPr>
                  <w:r w:rsidRPr="00CB78B3">
                    <w:rPr>
                      <w:rFonts w:ascii="Arial" w:hAnsi="Arial"/>
                      <w:b/>
                      <w:bCs w:val="0"/>
                      <w:sz w:val="28"/>
                      <w:szCs w:val="28"/>
                    </w:rPr>
                    <w:t>4</w:t>
                  </w:r>
                </w:p>
              </w:tc>
              <w:tc>
                <w:tcPr>
                  <w:tcW w:w="0" w:type="auto"/>
                  <w:shd w:val="clear" w:color="auto" w:fill="auto"/>
                </w:tcPr>
                <w:p w:rsidR="007318DD" w:rsidRPr="00CB78B3" w:rsidRDefault="007318DD" w:rsidP="00DE5EAA">
                  <w:pPr>
                    <w:pStyle w:val="Heading1"/>
                    <w:pageBreakBefore/>
                    <w:rPr>
                      <w:rFonts w:ascii="Arial" w:hAnsi="Arial"/>
                      <w:b/>
                      <w:sz w:val="28"/>
                      <w:szCs w:val="28"/>
                    </w:rPr>
                  </w:pPr>
                  <w:r w:rsidRPr="00CB78B3">
                    <w:rPr>
                      <w:rFonts w:ascii="Arial" w:hAnsi="Arial"/>
                      <w:b/>
                      <w:sz w:val="28"/>
                      <w:szCs w:val="28"/>
                    </w:rPr>
                    <w:t>ANNUAL INVESTMENT STRATEGY</w:t>
                  </w:r>
                </w:p>
              </w:tc>
              <w:tc>
                <w:tcPr>
                  <w:tcW w:w="0" w:type="auto"/>
                  <w:shd w:val="clear" w:color="auto" w:fill="auto"/>
                </w:tcPr>
                <w:p w:rsidR="007318DD" w:rsidRPr="00CB78B3" w:rsidRDefault="00223BFB" w:rsidP="002E2E3A">
                  <w:pPr>
                    <w:pStyle w:val="Heading1"/>
                    <w:pageBreakBefore/>
                    <w:jc w:val="center"/>
                    <w:rPr>
                      <w:rFonts w:ascii="Arial" w:hAnsi="Arial"/>
                      <w:b/>
                      <w:sz w:val="28"/>
                      <w:szCs w:val="28"/>
                    </w:rPr>
                  </w:pPr>
                  <w:r w:rsidRPr="00CB78B3">
                    <w:rPr>
                      <w:rFonts w:ascii="Arial" w:hAnsi="Arial"/>
                      <w:b/>
                      <w:sz w:val="28"/>
                      <w:szCs w:val="28"/>
                    </w:rPr>
                    <w:t>6</w:t>
                  </w:r>
                  <w:r w:rsidR="002E2E3A">
                    <w:rPr>
                      <w:rFonts w:ascii="Arial" w:hAnsi="Arial"/>
                      <w:b/>
                      <w:sz w:val="28"/>
                      <w:szCs w:val="28"/>
                    </w:rPr>
                    <w:t>5-87</w:t>
                  </w:r>
                </w:p>
              </w:tc>
            </w:tr>
            <w:tr w:rsidR="007318DD" w:rsidRPr="00CB78B3" w:rsidTr="00DE5EAA">
              <w:trPr>
                <w:trHeight w:val="232"/>
              </w:trPr>
              <w:tc>
                <w:tcPr>
                  <w:tcW w:w="0" w:type="auto"/>
                  <w:shd w:val="clear" w:color="auto" w:fill="auto"/>
                </w:tcPr>
                <w:p w:rsidR="007318DD" w:rsidRPr="00CB78B3" w:rsidRDefault="00F91262" w:rsidP="00DE5EAA">
                  <w:pPr>
                    <w:pStyle w:val="Heading1"/>
                    <w:pageBreakBefore/>
                    <w:rPr>
                      <w:rFonts w:ascii="Arial" w:hAnsi="Arial"/>
                      <w:b/>
                      <w:bCs w:val="0"/>
                      <w:sz w:val="24"/>
                      <w:szCs w:val="24"/>
                    </w:rPr>
                  </w:pPr>
                  <w:r w:rsidRPr="00CB78B3">
                    <w:rPr>
                      <w:rFonts w:ascii="Arial" w:hAnsi="Arial"/>
                      <w:b/>
                      <w:bCs w:val="0"/>
                      <w:sz w:val="24"/>
                      <w:szCs w:val="24"/>
                    </w:rPr>
                    <w:t>4.1</w:t>
                  </w:r>
                </w:p>
              </w:tc>
              <w:tc>
                <w:tcPr>
                  <w:tcW w:w="0" w:type="auto"/>
                  <w:shd w:val="clear" w:color="auto" w:fill="auto"/>
                </w:tcPr>
                <w:p w:rsidR="007318DD" w:rsidRPr="00CB78B3" w:rsidRDefault="00F91262" w:rsidP="00DE5EAA">
                  <w:pPr>
                    <w:pStyle w:val="Heading1"/>
                    <w:pageBreakBefore/>
                    <w:rPr>
                      <w:rFonts w:ascii="Arial" w:hAnsi="Arial"/>
                      <w:sz w:val="24"/>
                      <w:szCs w:val="24"/>
                    </w:rPr>
                  </w:pPr>
                  <w:r w:rsidRPr="00CB78B3">
                    <w:rPr>
                      <w:rFonts w:ascii="Arial" w:hAnsi="Arial"/>
                      <w:sz w:val="24"/>
                      <w:szCs w:val="24"/>
                    </w:rPr>
                    <w:t>Investment policy</w:t>
                  </w:r>
                </w:p>
              </w:tc>
              <w:tc>
                <w:tcPr>
                  <w:tcW w:w="0" w:type="auto"/>
                  <w:shd w:val="clear" w:color="auto" w:fill="auto"/>
                </w:tcPr>
                <w:p w:rsidR="007318DD" w:rsidRPr="00CB78B3" w:rsidRDefault="00223BFB" w:rsidP="002E2E3A">
                  <w:pPr>
                    <w:pStyle w:val="Heading1"/>
                    <w:pageBreakBefore/>
                    <w:jc w:val="center"/>
                    <w:rPr>
                      <w:rFonts w:ascii="Arial" w:hAnsi="Arial"/>
                      <w:sz w:val="24"/>
                      <w:szCs w:val="24"/>
                    </w:rPr>
                  </w:pPr>
                  <w:r w:rsidRPr="00CB78B3">
                    <w:rPr>
                      <w:rFonts w:ascii="Arial" w:hAnsi="Arial"/>
                      <w:sz w:val="24"/>
                      <w:szCs w:val="24"/>
                    </w:rPr>
                    <w:t>6</w:t>
                  </w:r>
                  <w:r w:rsidR="002E2E3A">
                    <w:rPr>
                      <w:rFonts w:ascii="Arial" w:hAnsi="Arial"/>
                      <w:sz w:val="24"/>
                      <w:szCs w:val="24"/>
                    </w:rPr>
                    <w:t>5-70</w:t>
                  </w:r>
                </w:p>
              </w:tc>
            </w:tr>
            <w:tr w:rsidR="007318DD" w:rsidRPr="00CB78B3" w:rsidTr="00DE5EAA">
              <w:trPr>
                <w:trHeight w:val="232"/>
              </w:trPr>
              <w:tc>
                <w:tcPr>
                  <w:tcW w:w="0" w:type="auto"/>
                  <w:shd w:val="clear" w:color="auto" w:fill="auto"/>
                </w:tcPr>
                <w:p w:rsidR="007318DD" w:rsidRPr="00CB78B3" w:rsidRDefault="00F91262" w:rsidP="00DE5EAA">
                  <w:pPr>
                    <w:pStyle w:val="Heading1"/>
                    <w:pageBreakBefore/>
                    <w:rPr>
                      <w:rFonts w:ascii="Arial" w:hAnsi="Arial"/>
                      <w:b/>
                      <w:bCs w:val="0"/>
                      <w:sz w:val="24"/>
                      <w:szCs w:val="24"/>
                    </w:rPr>
                  </w:pPr>
                  <w:r w:rsidRPr="00CB78B3">
                    <w:rPr>
                      <w:rFonts w:ascii="Arial" w:hAnsi="Arial"/>
                      <w:b/>
                      <w:bCs w:val="0"/>
                      <w:sz w:val="24"/>
                      <w:szCs w:val="24"/>
                    </w:rPr>
                    <w:t>4.2</w:t>
                  </w:r>
                </w:p>
              </w:tc>
              <w:tc>
                <w:tcPr>
                  <w:tcW w:w="0" w:type="auto"/>
                  <w:shd w:val="clear" w:color="auto" w:fill="auto"/>
                </w:tcPr>
                <w:p w:rsidR="007318DD" w:rsidRPr="00CB78B3" w:rsidRDefault="00F91262" w:rsidP="00DE5EAA">
                  <w:pPr>
                    <w:pStyle w:val="Heading1"/>
                    <w:pageBreakBefore/>
                    <w:rPr>
                      <w:rFonts w:ascii="Arial" w:hAnsi="Arial"/>
                      <w:sz w:val="24"/>
                      <w:szCs w:val="24"/>
                    </w:rPr>
                  </w:pPr>
                  <w:r w:rsidRPr="00CB78B3">
                    <w:rPr>
                      <w:rFonts w:ascii="Arial" w:hAnsi="Arial"/>
                      <w:sz w:val="24"/>
                      <w:szCs w:val="24"/>
                    </w:rPr>
                    <w:t>Creditworthiness policy</w:t>
                  </w:r>
                </w:p>
              </w:tc>
              <w:tc>
                <w:tcPr>
                  <w:tcW w:w="0" w:type="auto"/>
                  <w:shd w:val="clear" w:color="auto" w:fill="auto"/>
                </w:tcPr>
                <w:p w:rsidR="007318DD" w:rsidRPr="00CB78B3" w:rsidRDefault="00223BFB" w:rsidP="002E2E3A">
                  <w:pPr>
                    <w:pStyle w:val="Heading1"/>
                    <w:pageBreakBefore/>
                    <w:jc w:val="center"/>
                    <w:rPr>
                      <w:rFonts w:ascii="Arial" w:hAnsi="Arial"/>
                      <w:sz w:val="24"/>
                      <w:szCs w:val="24"/>
                    </w:rPr>
                  </w:pPr>
                  <w:r w:rsidRPr="00CB78B3">
                    <w:rPr>
                      <w:rFonts w:ascii="Arial" w:hAnsi="Arial"/>
                      <w:sz w:val="24"/>
                      <w:szCs w:val="24"/>
                    </w:rPr>
                    <w:t>7</w:t>
                  </w:r>
                  <w:r w:rsidR="002E2E3A">
                    <w:rPr>
                      <w:rFonts w:ascii="Arial" w:hAnsi="Arial"/>
                      <w:sz w:val="24"/>
                      <w:szCs w:val="24"/>
                    </w:rPr>
                    <w:t>1-75</w:t>
                  </w:r>
                </w:p>
              </w:tc>
            </w:tr>
            <w:tr w:rsidR="007318DD" w:rsidRPr="00CB78B3" w:rsidTr="00DE5EAA">
              <w:trPr>
                <w:trHeight w:val="232"/>
              </w:trPr>
              <w:tc>
                <w:tcPr>
                  <w:tcW w:w="0" w:type="auto"/>
                  <w:shd w:val="clear" w:color="auto" w:fill="auto"/>
                </w:tcPr>
                <w:p w:rsidR="007318DD" w:rsidRPr="00CB78B3" w:rsidRDefault="00F91262" w:rsidP="00DE5EAA">
                  <w:pPr>
                    <w:pStyle w:val="Heading1"/>
                    <w:pageBreakBefore/>
                    <w:rPr>
                      <w:rFonts w:ascii="Arial" w:hAnsi="Arial"/>
                      <w:b/>
                      <w:bCs w:val="0"/>
                      <w:sz w:val="24"/>
                      <w:szCs w:val="24"/>
                    </w:rPr>
                  </w:pPr>
                  <w:r w:rsidRPr="00CB78B3">
                    <w:rPr>
                      <w:rFonts w:ascii="Arial" w:hAnsi="Arial"/>
                      <w:b/>
                      <w:bCs w:val="0"/>
                      <w:sz w:val="24"/>
                      <w:szCs w:val="24"/>
                    </w:rPr>
                    <w:t>4.3</w:t>
                  </w:r>
                </w:p>
              </w:tc>
              <w:tc>
                <w:tcPr>
                  <w:tcW w:w="0" w:type="auto"/>
                  <w:shd w:val="clear" w:color="auto" w:fill="auto"/>
                </w:tcPr>
                <w:p w:rsidR="007318DD" w:rsidRPr="00CB78B3" w:rsidRDefault="00F91262" w:rsidP="00DE5EAA">
                  <w:pPr>
                    <w:pStyle w:val="Heading1"/>
                    <w:pageBreakBefore/>
                    <w:rPr>
                      <w:rFonts w:ascii="Arial" w:hAnsi="Arial"/>
                      <w:sz w:val="24"/>
                      <w:szCs w:val="24"/>
                    </w:rPr>
                  </w:pPr>
                  <w:r w:rsidRPr="00CB78B3">
                    <w:rPr>
                      <w:rFonts w:ascii="Arial" w:hAnsi="Arial"/>
                      <w:sz w:val="24"/>
                      <w:szCs w:val="24"/>
                    </w:rPr>
                    <w:t>Country limits</w:t>
                  </w:r>
                </w:p>
              </w:tc>
              <w:tc>
                <w:tcPr>
                  <w:tcW w:w="0" w:type="auto"/>
                  <w:shd w:val="clear" w:color="auto" w:fill="auto"/>
                </w:tcPr>
                <w:p w:rsidR="007318DD" w:rsidRPr="00CB78B3" w:rsidRDefault="002E2E3A" w:rsidP="002E2E3A">
                  <w:pPr>
                    <w:pStyle w:val="Heading1"/>
                    <w:pageBreakBefore/>
                    <w:jc w:val="center"/>
                    <w:rPr>
                      <w:rFonts w:ascii="Arial" w:hAnsi="Arial"/>
                      <w:sz w:val="24"/>
                      <w:szCs w:val="24"/>
                    </w:rPr>
                  </w:pPr>
                  <w:r>
                    <w:rPr>
                      <w:rFonts w:ascii="Arial" w:hAnsi="Arial"/>
                      <w:sz w:val="24"/>
                      <w:szCs w:val="24"/>
                    </w:rPr>
                    <w:t>76</w:t>
                  </w:r>
                </w:p>
              </w:tc>
            </w:tr>
            <w:tr w:rsidR="007318DD" w:rsidRPr="00CB78B3" w:rsidTr="00DE5EAA">
              <w:trPr>
                <w:trHeight w:val="232"/>
              </w:trPr>
              <w:tc>
                <w:tcPr>
                  <w:tcW w:w="0" w:type="auto"/>
                  <w:shd w:val="clear" w:color="auto" w:fill="auto"/>
                </w:tcPr>
                <w:p w:rsidR="007318DD" w:rsidRPr="00CB78B3" w:rsidRDefault="00F91262" w:rsidP="00DE5EAA">
                  <w:pPr>
                    <w:pStyle w:val="Heading1"/>
                    <w:pageBreakBefore/>
                    <w:rPr>
                      <w:rFonts w:ascii="Arial" w:hAnsi="Arial"/>
                      <w:b/>
                      <w:bCs w:val="0"/>
                      <w:sz w:val="24"/>
                      <w:szCs w:val="24"/>
                    </w:rPr>
                  </w:pPr>
                  <w:r w:rsidRPr="00CB78B3">
                    <w:rPr>
                      <w:rFonts w:ascii="Arial" w:hAnsi="Arial"/>
                      <w:b/>
                      <w:bCs w:val="0"/>
                      <w:sz w:val="24"/>
                      <w:szCs w:val="24"/>
                    </w:rPr>
                    <w:t>4.4</w:t>
                  </w:r>
                </w:p>
              </w:tc>
              <w:tc>
                <w:tcPr>
                  <w:tcW w:w="0" w:type="auto"/>
                  <w:shd w:val="clear" w:color="auto" w:fill="auto"/>
                </w:tcPr>
                <w:p w:rsidR="007318DD" w:rsidRPr="00CB78B3" w:rsidRDefault="002F2183" w:rsidP="00DE5EAA">
                  <w:pPr>
                    <w:pStyle w:val="Heading1"/>
                    <w:pageBreakBefore/>
                    <w:rPr>
                      <w:rFonts w:ascii="Arial" w:hAnsi="Arial"/>
                      <w:sz w:val="24"/>
                      <w:szCs w:val="24"/>
                    </w:rPr>
                  </w:pPr>
                  <w:r w:rsidRPr="00CB78B3">
                    <w:rPr>
                      <w:rFonts w:ascii="Arial" w:hAnsi="Arial"/>
                      <w:sz w:val="24"/>
                      <w:szCs w:val="24"/>
                    </w:rPr>
                    <w:t xml:space="preserve">Annual </w:t>
                  </w:r>
                  <w:r w:rsidR="00F91262" w:rsidRPr="00CB78B3">
                    <w:rPr>
                      <w:rFonts w:ascii="Arial" w:hAnsi="Arial"/>
                      <w:sz w:val="24"/>
                      <w:szCs w:val="24"/>
                    </w:rPr>
                    <w:t xml:space="preserve">Investment </w:t>
                  </w:r>
                  <w:r w:rsidR="00146434" w:rsidRPr="00CB78B3">
                    <w:rPr>
                      <w:rFonts w:ascii="Arial" w:hAnsi="Arial"/>
                      <w:sz w:val="24"/>
                      <w:szCs w:val="24"/>
                    </w:rPr>
                    <w:t>S</w:t>
                  </w:r>
                  <w:r w:rsidR="00F91262" w:rsidRPr="00CB78B3">
                    <w:rPr>
                      <w:rFonts w:ascii="Arial" w:hAnsi="Arial"/>
                      <w:sz w:val="24"/>
                      <w:szCs w:val="24"/>
                    </w:rPr>
                    <w:t>trategy</w:t>
                  </w:r>
                </w:p>
              </w:tc>
              <w:tc>
                <w:tcPr>
                  <w:tcW w:w="0" w:type="auto"/>
                  <w:shd w:val="clear" w:color="auto" w:fill="auto"/>
                </w:tcPr>
                <w:p w:rsidR="007318DD" w:rsidRPr="00CB78B3" w:rsidRDefault="00223BFB" w:rsidP="002E2E3A">
                  <w:pPr>
                    <w:pStyle w:val="Heading1"/>
                    <w:pageBreakBefore/>
                    <w:jc w:val="center"/>
                    <w:rPr>
                      <w:rFonts w:ascii="Arial" w:hAnsi="Arial"/>
                      <w:sz w:val="24"/>
                      <w:szCs w:val="24"/>
                    </w:rPr>
                  </w:pPr>
                  <w:r w:rsidRPr="00CB78B3">
                    <w:rPr>
                      <w:rFonts w:ascii="Arial" w:hAnsi="Arial"/>
                      <w:sz w:val="24"/>
                      <w:szCs w:val="24"/>
                    </w:rPr>
                    <w:t>7</w:t>
                  </w:r>
                  <w:r w:rsidR="002E2E3A">
                    <w:rPr>
                      <w:rFonts w:ascii="Arial" w:hAnsi="Arial"/>
                      <w:sz w:val="24"/>
                      <w:szCs w:val="24"/>
                    </w:rPr>
                    <w:t>7-85</w:t>
                  </w:r>
                </w:p>
              </w:tc>
            </w:tr>
            <w:tr w:rsidR="00F91262" w:rsidRPr="00CB78B3" w:rsidTr="00DE5EAA">
              <w:trPr>
                <w:trHeight w:val="232"/>
              </w:trPr>
              <w:tc>
                <w:tcPr>
                  <w:tcW w:w="0" w:type="auto"/>
                  <w:shd w:val="clear" w:color="auto" w:fill="auto"/>
                </w:tcPr>
                <w:p w:rsidR="00F91262" w:rsidRPr="00CB78B3" w:rsidRDefault="00F91262" w:rsidP="00DE5EAA">
                  <w:pPr>
                    <w:pStyle w:val="Heading1"/>
                    <w:pageBreakBefore/>
                    <w:rPr>
                      <w:rFonts w:ascii="Arial" w:hAnsi="Arial"/>
                      <w:b/>
                      <w:bCs w:val="0"/>
                      <w:sz w:val="24"/>
                      <w:szCs w:val="24"/>
                    </w:rPr>
                  </w:pPr>
                  <w:r w:rsidRPr="00CB78B3">
                    <w:rPr>
                      <w:rFonts w:ascii="Arial" w:hAnsi="Arial"/>
                      <w:b/>
                      <w:bCs w:val="0"/>
                      <w:sz w:val="24"/>
                      <w:szCs w:val="24"/>
                    </w:rPr>
                    <w:t>4.5</w:t>
                  </w:r>
                </w:p>
              </w:tc>
              <w:tc>
                <w:tcPr>
                  <w:tcW w:w="0" w:type="auto"/>
                  <w:shd w:val="clear" w:color="auto" w:fill="auto"/>
                </w:tcPr>
                <w:p w:rsidR="00F91262" w:rsidRPr="00CB78B3" w:rsidRDefault="00F91262" w:rsidP="00DE5EAA">
                  <w:pPr>
                    <w:pStyle w:val="Heading1"/>
                    <w:pageBreakBefore/>
                    <w:rPr>
                      <w:rFonts w:ascii="Arial" w:hAnsi="Arial"/>
                      <w:sz w:val="24"/>
                      <w:szCs w:val="24"/>
                    </w:rPr>
                  </w:pPr>
                  <w:r w:rsidRPr="00CB78B3">
                    <w:rPr>
                      <w:rFonts w:ascii="Arial" w:hAnsi="Arial"/>
                      <w:sz w:val="24"/>
                      <w:szCs w:val="24"/>
                    </w:rPr>
                    <w:t>Investment risk benchmarking</w:t>
                  </w:r>
                </w:p>
              </w:tc>
              <w:tc>
                <w:tcPr>
                  <w:tcW w:w="0" w:type="auto"/>
                  <w:shd w:val="clear" w:color="auto" w:fill="auto"/>
                </w:tcPr>
                <w:p w:rsidR="00F91262" w:rsidRPr="00CB78B3" w:rsidRDefault="002E2E3A" w:rsidP="002E2E3A">
                  <w:pPr>
                    <w:pStyle w:val="Heading1"/>
                    <w:pageBreakBefore/>
                    <w:jc w:val="center"/>
                    <w:rPr>
                      <w:rFonts w:ascii="Arial" w:hAnsi="Arial"/>
                      <w:sz w:val="24"/>
                      <w:szCs w:val="24"/>
                    </w:rPr>
                  </w:pPr>
                  <w:r>
                    <w:rPr>
                      <w:rFonts w:ascii="Arial" w:hAnsi="Arial"/>
                      <w:sz w:val="24"/>
                      <w:szCs w:val="24"/>
                    </w:rPr>
                    <w:t>86</w:t>
                  </w:r>
                </w:p>
              </w:tc>
            </w:tr>
            <w:tr w:rsidR="00F91262" w:rsidRPr="00CB78B3" w:rsidTr="00DE5EAA">
              <w:trPr>
                <w:trHeight w:val="232"/>
              </w:trPr>
              <w:tc>
                <w:tcPr>
                  <w:tcW w:w="0" w:type="auto"/>
                  <w:shd w:val="clear" w:color="auto" w:fill="auto"/>
                </w:tcPr>
                <w:p w:rsidR="00F91262" w:rsidRPr="00CB78B3" w:rsidRDefault="00F91262" w:rsidP="00DE5EAA">
                  <w:pPr>
                    <w:pStyle w:val="Heading1"/>
                    <w:pageBreakBefore/>
                    <w:rPr>
                      <w:rFonts w:ascii="Arial" w:hAnsi="Arial"/>
                      <w:b/>
                      <w:bCs w:val="0"/>
                      <w:sz w:val="24"/>
                      <w:szCs w:val="24"/>
                    </w:rPr>
                  </w:pPr>
                  <w:r w:rsidRPr="00CB78B3">
                    <w:rPr>
                      <w:rFonts w:ascii="Arial" w:hAnsi="Arial"/>
                      <w:b/>
                      <w:bCs w:val="0"/>
                      <w:sz w:val="24"/>
                      <w:szCs w:val="24"/>
                    </w:rPr>
                    <w:t>4.6</w:t>
                  </w:r>
                </w:p>
              </w:tc>
              <w:tc>
                <w:tcPr>
                  <w:tcW w:w="0" w:type="auto"/>
                  <w:shd w:val="clear" w:color="auto" w:fill="auto"/>
                </w:tcPr>
                <w:p w:rsidR="00F91262" w:rsidRPr="00CB78B3" w:rsidRDefault="00F91262" w:rsidP="00DE5EAA">
                  <w:pPr>
                    <w:pStyle w:val="Heading1"/>
                    <w:pageBreakBefore/>
                    <w:rPr>
                      <w:rFonts w:ascii="Arial" w:hAnsi="Arial"/>
                      <w:sz w:val="24"/>
                      <w:szCs w:val="24"/>
                    </w:rPr>
                  </w:pPr>
                  <w:r w:rsidRPr="00CB78B3">
                    <w:rPr>
                      <w:rFonts w:ascii="Arial" w:hAnsi="Arial"/>
                      <w:sz w:val="24"/>
                      <w:szCs w:val="24"/>
                    </w:rPr>
                    <w:t>End of year investment report</w:t>
                  </w:r>
                </w:p>
              </w:tc>
              <w:tc>
                <w:tcPr>
                  <w:tcW w:w="0" w:type="auto"/>
                  <w:shd w:val="clear" w:color="auto" w:fill="auto"/>
                </w:tcPr>
                <w:p w:rsidR="00F91262" w:rsidRPr="00CB78B3" w:rsidRDefault="00223BFB" w:rsidP="002E2E3A">
                  <w:pPr>
                    <w:pStyle w:val="Heading1"/>
                    <w:pageBreakBefore/>
                    <w:jc w:val="center"/>
                    <w:rPr>
                      <w:rFonts w:ascii="Arial" w:hAnsi="Arial"/>
                      <w:sz w:val="24"/>
                      <w:szCs w:val="24"/>
                    </w:rPr>
                  </w:pPr>
                  <w:r w:rsidRPr="00CB78B3">
                    <w:rPr>
                      <w:rFonts w:ascii="Arial" w:hAnsi="Arial"/>
                      <w:sz w:val="24"/>
                      <w:szCs w:val="24"/>
                    </w:rPr>
                    <w:t>8</w:t>
                  </w:r>
                  <w:r w:rsidR="002E2E3A">
                    <w:rPr>
                      <w:rFonts w:ascii="Arial" w:hAnsi="Arial"/>
                      <w:sz w:val="24"/>
                      <w:szCs w:val="24"/>
                    </w:rPr>
                    <w:t>7</w:t>
                  </w:r>
                </w:p>
              </w:tc>
            </w:tr>
            <w:tr w:rsidR="0070661F" w:rsidRPr="00CB78B3" w:rsidTr="00DE5EAA">
              <w:trPr>
                <w:trHeight w:val="510"/>
              </w:trPr>
              <w:tc>
                <w:tcPr>
                  <w:tcW w:w="0" w:type="auto"/>
                  <w:shd w:val="clear" w:color="auto" w:fill="auto"/>
                </w:tcPr>
                <w:p w:rsidR="0070661F" w:rsidRPr="00CB78B3" w:rsidRDefault="0070661F" w:rsidP="00DE5EAA">
                  <w:pPr>
                    <w:pStyle w:val="Heading1"/>
                    <w:pageBreakBefore/>
                    <w:rPr>
                      <w:rFonts w:ascii="Arial" w:hAnsi="Arial"/>
                      <w:b/>
                      <w:bCs w:val="0"/>
                      <w:sz w:val="28"/>
                      <w:szCs w:val="28"/>
                    </w:rPr>
                  </w:pPr>
                </w:p>
              </w:tc>
              <w:tc>
                <w:tcPr>
                  <w:tcW w:w="0" w:type="auto"/>
                  <w:shd w:val="clear" w:color="auto" w:fill="auto"/>
                </w:tcPr>
                <w:p w:rsidR="0070661F" w:rsidRPr="00CB78B3" w:rsidRDefault="0070661F" w:rsidP="00DE5EAA">
                  <w:pPr>
                    <w:pStyle w:val="Heading1"/>
                    <w:pageBreakBefore/>
                    <w:rPr>
                      <w:rFonts w:ascii="Arial" w:hAnsi="Arial"/>
                      <w:sz w:val="28"/>
                      <w:szCs w:val="28"/>
                    </w:rPr>
                  </w:pPr>
                </w:p>
              </w:tc>
              <w:tc>
                <w:tcPr>
                  <w:tcW w:w="0" w:type="auto"/>
                  <w:shd w:val="clear" w:color="auto" w:fill="auto"/>
                </w:tcPr>
                <w:p w:rsidR="0070661F" w:rsidRPr="00CB78B3" w:rsidRDefault="0070661F" w:rsidP="00540474">
                  <w:pPr>
                    <w:pStyle w:val="Heading1"/>
                    <w:pageBreakBefore/>
                    <w:jc w:val="center"/>
                    <w:rPr>
                      <w:rFonts w:ascii="Arial" w:hAnsi="Arial"/>
                      <w:sz w:val="28"/>
                      <w:szCs w:val="28"/>
                    </w:rPr>
                  </w:pPr>
                </w:p>
              </w:tc>
            </w:tr>
            <w:tr w:rsidR="0070661F" w:rsidRPr="00CB78B3" w:rsidTr="00DE5EAA">
              <w:trPr>
                <w:trHeight w:val="510"/>
              </w:trPr>
              <w:tc>
                <w:tcPr>
                  <w:tcW w:w="0" w:type="auto"/>
                  <w:shd w:val="clear" w:color="auto" w:fill="auto"/>
                </w:tcPr>
                <w:p w:rsidR="0070661F" w:rsidRPr="00CB78B3" w:rsidRDefault="0070661F" w:rsidP="009F11E6">
                  <w:pPr>
                    <w:pStyle w:val="Heading1"/>
                    <w:pageBreakBefore/>
                    <w:rPr>
                      <w:rFonts w:ascii="Arial" w:hAnsi="Arial"/>
                      <w:b/>
                      <w:bCs w:val="0"/>
                      <w:sz w:val="28"/>
                      <w:szCs w:val="28"/>
                    </w:rPr>
                  </w:pPr>
                  <w:r w:rsidRPr="00CB78B3">
                    <w:rPr>
                      <w:rFonts w:ascii="Arial" w:hAnsi="Arial"/>
                      <w:b/>
                      <w:bCs w:val="0"/>
                      <w:sz w:val="28"/>
                      <w:szCs w:val="28"/>
                    </w:rPr>
                    <w:t>5</w:t>
                  </w:r>
                </w:p>
              </w:tc>
              <w:tc>
                <w:tcPr>
                  <w:tcW w:w="0" w:type="auto"/>
                  <w:shd w:val="clear" w:color="auto" w:fill="auto"/>
                </w:tcPr>
                <w:p w:rsidR="0070661F" w:rsidRPr="00CB78B3" w:rsidRDefault="0070661F" w:rsidP="009F11E6">
                  <w:pPr>
                    <w:pStyle w:val="Heading1"/>
                    <w:pageBreakBefore/>
                    <w:rPr>
                      <w:rFonts w:ascii="Arial" w:hAnsi="Arial"/>
                      <w:b/>
                      <w:sz w:val="28"/>
                      <w:szCs w:val="28"/>
                    </w:rPr>
                  </w:pPr>
                  <w:r w:rsidRPr="00CB78B3">
                    <w:rPr>
                      <w:rFonts w:ascii="Arial" w:hAnsi="Arial"/>
                      <w:b/>
                      <w:sz w:val="28"/>
                      <w:szCs w:val="28"/>
                    </w:rPr>
                    <w:t>AFFORDABILITY PRUDENTIAL INDICATORS</w:t>
                  </w:r>
                </w:p>
              </w:tc>
              <w:tc>
                <w:tcPr>
                  <w:tcW w:w="0" w:type="auto"/>
                  <w:shd w:val="clear" w:color="auto" w:fill="auto"/>
                </w:tcPr>
                <w:p w:rsidR="0070661F" w:rsidRPr="00CB78B3" w:rsidRDefault="002E2E3A" w:rsidP="002E2E3A">
                  <w:pPr>
                    <w:pStyle w:val="Heading1"/>
                    <w:pageBreakBefore/>
                    <w:jc w:val="center"/>
                    <w:rPr>
                      <w:rFonts w:ascii="Arial" w:hAnsi="Arial"/>
                      <w:b/>
                      <w:sz w:val="28"/>
                      <w:szCs w:val="28"/>
                    </w:rPr>
                  </w:pPr>
                  <w:r>
                    <w:rPr>
                      <w:rFonts w:ascii="Arial" w:hAnsi="Arial"/>
                      <w:b/>
                      <w:sz w:val="28"/>
                      <w:szCs w:val="28"/>
                    </w:rPr>
                    <w:t>88</w:t>
                  </w:r>
                </w:p>
              </w:tc>
            </w:tr>
            <w:tr w:rsidR="0070661F" w:rsidRPr="00CB78B3" w:rsidTr="00DE5EAA">
              <w:tc>
                <w:tcPr>
                  <w:tcW w:w="0" w:type="auto"/>
                  <w:shd w:val="clear" w:color="auto" w:fill="auto"/>
                </w:tcPr>
                <w:p w:rsidR="0070661F" w:rsidRPr="00CB78B3" w:rsidRDefault="0070661F" w:rsidP="00030EF3">
                  <w:pPr>
                    <w:rPr>
                      <w:b/>
                      <w:bCs/>
                    </w:rPr>
                  </w:pPr>
                </w:p>
              </w:tc>
              <w:tc>
                <w:tcPr>
                  <w:tcW w:w="0" w:type="auto"/>
                  <w:shd w:val="clear" w:color="auto" w:fill="auto"/>
                </w:tcPr>
                <w:p w:rsidR="007B732E" w:rsidRPr="00CB78B3" w:rsidRDefault="007B732E" w:rsidP="0070661F"/>
                <w:p w:rsidR="00B66EC6" w:rsidRPr="00CB78B3" w:rsidRDefault="00B66EC6" w:rsidP="0070661F"/>
                <w:p w:rsidR="007B732E" w:rsidRPr="00CB78B3" w:rsidRDefault="007B732E" w:rsidP="0070661F"/>
                <w:p w:rsidR="007B732E" w:rsidRDefault="007B732E" w:rsidP="0070661F"/>
                <w:p w:rsidR="001D4FD2" w:rsidRDefault="001D4FD2" w:rsidP="0070661F"/>
                <w:p w:rsidR="001D4FD2" w:rsidRDefault="001D4FD2" w:rsidP="0070661F"/>
                <w:p w:rsidR="001D4FD2" w:rsidRDefault="001D4FD2" w:rsidP="0070661F"/>
                <w:p w:rsidR="001D4FD2" w:rsidRPr="00CB78B3" w:rsidRDefault="001D4FD2" w:rsidP="0070661F"/>
                <w:p w:rsidR="007B732E" w:rsidRPr="00CB78B3" w:rsidRDefault="007B732E" w:rsidP="0070661F"/>
                <w:p w:rsidR="0070661F" w:rsidRPr="00CB78B3" w:rsidRDefault="0070661F" w:rsidP="0070661F"/>
              </w:tc>
              <w:tc>
                <w:tcPr>
                  <w:tcW w:w="0" w:type="auto"/>
                  <w:shd w:val="clear" w:color="auto" w:fill="auto"/>
                </w:tcPr>
                <w:p w:rsidR="0070661F" w:rsidRPr="00CB78B3" w:rsidRDefault="0070661F" w:rsidP="00DE5EAA">
                  <w:pPr>
                    <w:pStyle w:val="Heading1"/>
                    <w:pageBreakBefore/>
                    <w:rPr>
                      <w:rFonts w:ascii="Arial" w:hAnsi="Arial"/>
                      <w:sz w:val="28"/>
                      <w:szCs w:val="28"/>
                    </w:rPr>
                  </w:pPr>
                </w:p>
              </w:tc>
            </w:tr>
            <w:tr w:rsidR="0070661F" w:rsidRPr="00CB78B3" w:rsidTr="00DE5EAA">
              <w:tc>
                <w:tcPr>
                  <w:tcW w:w="0" w:type="auto"/>
                  <w:shd w:val="clear" w:color="auto" w:fill="auto"/>
                </w:tcPr>
                <w:p w:rsidR="0070661F" w:rsidRPr="00CB78B3" w:rsidRDefault="0070661F" w:rsidP="00DE5EAA">
                  <w:pPr>
                    <w:pStyle w:val="Heading1"/>
                    <w:pageBreakBefore/>
                    <w:rPr>
                      <w:rFonts w:ascii="Arial" w:hAnsi="Arial"/>
                      <w:b/>
                      <w:bCs w:val="0"/>
                      <w:sz w:val="28"/>
                      <w:szCs w:val="28"/>
                    </w:rPr>
                  </w:pPr>
                </w:p>
              </w:tc>
              <w:tc>
                <w:tcPr>
                  <w:tcW w:w="0" w:type="auto"/>
                  <w:shd w:val="clear" w:color="auto" w:fill="auto"/>
                </w:tcPr>
                <w:p w:rsidR="0070661F" w:rsidRPr="00CB78B3" w:rsidRDefault="0070661F" w:rsidP="00DE5EAA">
                  <w:pPr>
                    <w:pStyle w:val="Heading1"/>
                    <w:pageBreakBefore/>
                    <w:rPr>
                      <w:rFonts w:ascii="Arial" w:hAnsi="Arial"/>
                      <w:b/>
                      <w:sz w:val="28"/>
                      <w:szCs w:val="28"/>
                    </w:rPr>
                  </w:pPr>
                  <w:r w:rsidRPr="00CB78B3">
                    <w:rPr>
                      <w:rFonts w:ascii="Arial" w:hAnsi="Arial"/>
                      <w:b/>
                      <w:sz w:val="28"/>
                      <w:szCs w:val="28"/>
                    </w:rPr>
                    <w:t>APPENDICES</w:t>
                  </w:r>
                </w:p>
              </w:tc>
              <w:tc>
                <w:tcPr>
                  <w:tcW w:w="0" w:type="auto"/>
                  <w:shd w:val="clear" w:color="auto" w:fill="auto"/>
                </w:tcPr>
                <w:p w:rsidR="0070661F" w:rsidRPr="00CB78B3" w:rsidRDefault="0070661F" w:rsidP="00DE5EAA">
                  <w:pPr>
                    <w:pStyle w:val="Heading1"/>
                    <w:pageBreakBefore/>
                    <w:rPr>
                      <w:rFonts w:ascii="Arial" w:hAnsi="Arial"/>
                      <w:sz w:val="28"/>
                      <w:szCs w:val="28"/>
                    </w:rPr>
                  </w:pPr>
                </w:p>
              </w:tc>
            </w:tr>
            <w:tr w:rsidR="0070661F" w:rsidRPr="00CB78B3" w:rsidTr="00DE5EAA">
              <w:tc>
                <w:tcPr>
                  <w:tcW w:w="0" w:type="auto"/>
                  <w:shd w:val="clear" w:color="auto" w:fill="auto"/>
                </w:tcPr>
                <w:p w:rsidR="0070661F" w:rsidRPr="00CB78B3" w:rsidRDefault="0070661F" w:rsidP="00DE5EAA">
                  <w:pPr>
                    <w:pStyle w:val="Heading1"/>
                    <w:pageBreakBefore/>
                    <w:rPr>
                      <w:rFonts w:ascii="Arial" w:hAnsi="Arial"/>
                      <w:b/>
                      <w:bCs w:val="0"/>
                      <w:sz w:val="24"/>
                      <w:szCs w:val="24"/>
                    </w:rPr>
                  </w:pPr>
                  <w:r w:rsidRPr="00CB78B3">
                    <w:rPr>
                      <w:rFonts w:ascii="Arial" w:hAnsi="Arial"/>
                      <w:b/>
                      <w:bCs w:val="0"/>
                      <w:sz w:val="24"/>
                      <w:szCs w:val="24"/>
                    </w:rPr>
                    <w:t>A</w:t>
                  </w:r>
                </w:p>
              </w:tc>
              <w:tc>
                <w:tcPr>
                  <w:tcW w:w="0" w:type="auto"/>
                  <w:shd w:val="clear" w:color="auto" w:fill="auto"/>
                </w:tcPr>
                <w:p w:rsidR="001D4FD2" w:rsidRPr="001D4FD2" w:rsidRDefault="0070661F" w:rsidP="001D4FD2">
                  <w:pPr>
                    <w:pStyle w:val="Heading1"/>
                    <w:pageBreakBefore/>
                  </w:pPr>
                  <w:r w:rsidRPr="00CB78B3">
                    <w:rPr>
                      <w:rFonts w:ascii="Arial" w:hAnsi="Arial"/>
                      <w:sz w:val="24"/>
                      <w:szCs w:val="24"/>
                    </w:rPr>
                    <w:t>Legislation and Regulations Impacting on Treasury Management</w:t>
                  </w:r>
                </w:p>
              </w:tc>
              <w:tc>
                <w:tcPr>
                  <w:tcW w:w="0" w:type="auto"/>
                  <w:shd w:val="clear" w:color="auto" w:fill="auto"/>
                </w:tcPr>
                <w:p w:rsidR="0070661F" w:rsidRPr="00CB78B3" w:rsidRDefault="0070661F" w:rsidP="00DE5EAA">
                  <w:pPr>
                    <w:pStyle w:val="Heading1"/>
                    <w:pageBreakBefore/>
                    <w:rPr>
                      <w:rFonts w:ascii="Arial" w:hAnsi="Arial"/>
                      <w:sz w:val="24"/>
                      <w:szCs w:val="24"/>
                    </w:rPr>
                  </w:pPr>
                </w:p>
              </w:tc>
            </w:tr>
            <w:tr w:rsidR="0070661F" w:rsidRPr="00CB78B3" w:rsidTr="00DE5EAA">
              <w:tc>
                <w:tcPr>
                  <w:tcW w:w="0" w:type="auto"/>
                  <w:shd w:val="clear" w:color="auto" w:fill="auto"/>
                </w:tcPr>
                <w:p w:rsidR="0070661F" w:rsidRPr="00CB78B3" w:rsidRDefault="0070661F" w:rsidP="008277B4">
                  <w:pPr>
                    <w:pStyle w:val="Heading1"/>
                    <w:pageBreakBefore/>
                    <w:rPr>
                      <w:rFonts w:ascii="Arial" w:hAnsi="Arial"/>
                      <w:b/>
                      <w:bCs w:val="0"/>
                      <w:sz w:val="24"/>
                      <w:szCs w:val="24"/>
                    </w:rPr>
                  </w:pPr>
                  <w:r w:rsidRPr="00CB78B3">
                    <w:rPr>
                      <w:rFonts w:ascii="Arial" w:hAnsi="Arial"/>
                      <w:b/>
                      <w:bCs w:val="0"/>
                      <w:sz w:val="24"/>
                      <w:szCs w:val="24"/>
                    </w:rPr>
                    <w:t>B</w:t>
                  </w:r>
                </w:p>
              </w:tc>
              <w:tc>
                <w:tcPr>
                  <w:tcW w:w="0" w:type="auto"/>
                  <w:shd w:val="clear" w:color="auto" w:fill="auto"/>
                </w:tcPr>
                <w:p w:rsidR="0070661F" w:rsidRPr="00CB78B3" w:rsidRDefault="0070661F" w:rsidP="008277B4">
                  <w:pPr>
                    <w:pStyle w:val="Heading1"/>
                    <w:pageBreakBefore/>
                    <w:rPr>
                      <w:rFonts w:ascii="Arial" w:hAnsi="Arial"/>
                      <w:sz w:val="24"/>
                      <w:szCs w:val="24"/>
                    </w:rPr>
                  </w:pPr>
                  <w:r w:rsidRPr="00CB78B3">
                    <w:rPr>
                      <w:rFonts w:ascii="Arial" w:hAnsi="Arial"/>
                      <w:sz w:val="24"/>
                      <w:szCs w:val="24"/>
                    </w:rPr>
                    <w:t>Treasury Management Delegations and Responsibilities</w:t>
                  </w:r>
                </w:p>
              </w:tc>
              <w:tc>
                <w:tcPr>
                  <w:tcW w:w="0" w:type="auto"/>
                  <w:shd w:val="clear" w:color="auto" w:fill="auto"/>
                </w:tcPr>
                <w:p w:rsidR="0070661F" w:rsidRPr="00CB78B3" w:rsidRDefault="0070661F" w:rsidP="00DE5EAA">
                  <w:pPr>
                    <w:pStyle w:val="Heading1"/>
                    <w:pageBreakBefore/>
                    <w:rPr>
                      <w:rFonts w:ascii="Arial" w:hAnsi="Arial"/>
                      <w:sz w:val="24"/>
                      <w:szCs w:val="24"/>
                    </w:rPr>
                  </w:pPr>
                </w:p>
              </w:tc>
            </w:tr>
            <w:tr w:rsidR="0070661F" w:rsidRPr="00CB78B3" w:rsidTr="00DE5EAA">
              <w:tc>
                <w:tcPr>
                  <w:tcW w:w="0" w:type="auto"/>
                  <w:shd w:val="clear" w:color="auto" w:fill="auto"/>
                </w:tcPr>
                <w:p w:rsidR="0070661F" w:rsidRPr="00CB78B3" w:rsidRDefault="0070661F" w:rsidP="00DE5EAA">
                  <w:pPr>
                    <w:pStyle w:val="Heading1"/>
                    <w:pageBreakBefore/>
                    <w:rPr>
                      <w:rFonts w:ascii="Arial" w:hAnsi="Arial"/>
                      <w:b/>
                      <w:bCs w:val="0"/>
                      <w:sz w:val="24"/>
                      <w:szCs w:val="24"/>
                    </w:rPr>
                  </w:pPr>
                  <w:r w:rsidRPr="00CB78B3">
                    <w:rPr>
                      <w:rFonts w:ascii="Arial" w:hAnsi="Arial"/>
                      <w:b/>
                      <w:bCs w:val="0"/>
                      <w:sz w:val="24"/>
                      <w:szCs w:val="24"/>
                    </w:rPr>
                    <w:t>C</w:t>
                  </w:r>
                </w:p>
              </w:tc>
              <w:tc>
                <w:tcPr>
                  <w:tcW w:w="0" w:type="auto"/>
                  <w:shd w:val="clear" w:color="auto" w:fill="auto"/>
                </w:tcPr>
                <w:p w:rsidR="0070661F" w:rsidRPr="00CB78B3" w:rsidRDefault="0070661F" w:rsidP="00DE5EAA">
                  <w:pPr>
                    <w:pStyle w:val="Heading1"/>
                    <w:pageBreakBefore/>
                    <w:rPr>
                      <w:rFonts w:ascii="Arial" w:hAnsi="Arial"/>
                      <w:sz w:val="24"/>
                      <w:szCs w:val="24"/>
                    </w:rPr>
                  </w:pPr>
                  <w:r w:rsidRPr="00CB78B3">
                    <w:rPr>
                      <w:rFonts w:ascii="Arial" w:hAnsi="Arial"/>
                      <w:sz w:val="24"/>
                      <w:szCs w:val="24"/>
                    </w:rPr>
                    <w:t>Minimum Revenue Provision (MRP) Policy Statement</w:t>
                  </w:r>
                </w:p>
              </w:tc>
              <w:tc>
                <w:tcPr>
                  <w:tcW w:w="0" w:type="auto"/>
                  <w:shd w:val="clear" w:color="auto" w:fill="auto"/>
                </w:tcPr>
                <w:p w:rsidR="0070661F" w:rsidRPr="00CB78B3" w:rsidRDefault="0070661F" w:rsidP="00DE5EAA">
                  <w:pPr>
                    <w:pStyle w:val="Heading1"/>
                    <w:pageBreakBefore/>
                    <w:rPr>
                      <w:rFonts w:ascii="Arial" w:hAnsi="Arial"/>
                      <w:sz w:val="24"/>
                      <w:szCs w:val="24"/>
                    </w:rPr>
                  </w:pPr>
                </w:p>
              </w:tc>
            </w:tr>
            <w:tr w:rsidR="0070661F" w:rsidRPr="00CB78B3" w:rsidTr="00DE5EAA">
              <w:tc>
                <w:tcPr>
                  <w:tcW w:w="0" w:type="auto"/>
                  <w:shd w:val="clear" w:color="auto" w:fill="auto"/>
                </w:tcPr>
                <w:p w:rsidR="0070661F" w:rsidRPr="00CB78B3" w:rsidRDefault="0070661F" w:rsidP="00DE5EAA">
                  <w:pPr>
                    <w:pStyle w:val="Heading1"/>
                    <w:pageBreakBefore/>
                    <w:rPr>
                      <w:rFonts w:ascii="Arial" w:hAnsi="Arial"/>
                      <w:b/>
                      <w:bCs w:val="0"/>
                      <w:sz w:val="24"/>
                      <w:szCs w:val="24"/>
                    </w:rPr>
                  </w:pPr>
                  <w:r w:rsidRPr="00CB78B3">
                    <w:rPr>
                      <w:rFonts w:ascii="Arial" w:hAnsi="Arial"/>
                      <w:b/>
                      <w:bCs w:val="0"/>
                      <w:sz w:val="24"/>
                      <w:szCs w:val="24"/>
                    </w:rPr>
                    <w:t>D</w:t>
                  </w:r>
                </w:p>
              </w:tc>
              <w:tc>
                <w:tcPr>
                  <w:tcW w:w="0" w:type="auto"/>
                  <w:shd w:val="clear" w:color="auto" w:fill="auto"/>
                </w:tcPr>
                <w:p w:rsidR="0070661F" w:rsidRPr="00CB78B3" w:rsidRDefault="0070661F" w:rsidP="006A116B">
                  <w:pPr>
                    <w:pStyle w:val="Heading1"/>
                    <w:pageBreakBefore/>
                    <w:rPr>
                      <w:rFonts w:ascii="Arial" w:hAnsi="Arial"/>
                      <w:sz w:val="24"/>
                      <w:szCs w:val="24"/>
                    </w:rPr>
                  </w:pPr>
                  <w:r w:rsidRPr="00CB78B3">
                    <w:rPr>
                      <w:rFonts w:ascii="Arial" w:hAnsi="Arial"/>
                      <w:sz w:val="24"/>
                      <w:szCs w:val="24"/>
                    </w:rPr>
                    <w:t xml:space="preserve">Interest Rate Forecasts </w:t>
                  </w:r>
                  <w:r w:rsidRPr="004149DB">
                    <w:rPr>
                      <w:rFonts w:ascii="Arial" w:hAnsi="Arial"/>
                      <w:sz w:val="24"/>
                      <w:szCs w:val="24"/>
                    </w:rPr>
                    <w:t>201</w:t>
                  </w:r>
                  <w:r w:rsidR="006A116B" w:rsidRPr="004149DB">
                    <w:rPr>
                      <w:rFonts w:ascii="Arial" w:hAnsi="Arial"/>
                      <w:sz w:val="24"/>
                      <w:szCs w:val="24"/>
                    </w:rPr>
                    <w:t>8</w:t>
                  </w:r>
                  <w:r w:rsidRPr="004149DB">
                    <w:rPr>
                      <w:rFonts w:ascii="Arial" w:hAnsi="Arial"/>
                      <w:sz w:val="24"/>
                      <w:szCs w:val="24"/>
                    </w:rPr>
                    <w:t>-2</w:t>
                  </w:r>
                  <w:r w:rsidR="006A116B" w:rsidRPr="004149DB">
                    <w:rPr>
                      <w:rFonts w:ascii="Arial" w:hAnsi="Arial"/>
                      <w:sz w:val="24"/>
                      <w:szCs w:val="24"/>
                    </w:rPr>
                    <w:t>1</w:t>
                  </w:r>
                </w:p>
              </w:tc>
              <w:tc>
                <w:tcPr>
                  <w:tcW w:w="0" w:type="auto"/>
                  <w:shd w:val="clear" w:color="auto" w:fill="auto"/>
                </w:tcPr>
                <w:p w:rsidR="0070661F" w:rsidRPr="00CB78B3" w:rsidRDefault="0070661F" w:rsidP="00DE5EAA">
                  <w:pPr>
                    <w:pStyle w:val="Heading1"/>
                    <w:pageBreakBefore/>
                    <w:rPr>
                      <w:rFonts w:ascii="Arial" w:hAnsi="Arial"/>
                      <w:sz w:val="24"/>
                      <w:szCs w:val="24"/>
                    </w:rPr>
                  </w:pPr>
                </w:p>
              </w:tc>
            </w:tr>
            <w:tr w:rsidR="0070661F" w:rsidRPr="00CB78B3" w:rsidTr="00DE5EAA">
              <w:tc>
                <w:tcPr>
                  <w:tcW w:w="0" w:type="auto"/>
                  <w:shd w:val="clear" w:color="auto" w:fill="auto"/>
                </w:tcPr>
                <w:p w:rsidR="0070661F" w:rsidRPr="00CB78B3" w:rsidRDefault="0070661F" w:rsidP="00DE5EAA">
                  <w:pPr>
                    <w:pStyle w:val="Heading1"/>
                    <w:pageBreakBefore/>
                    <w:rPr>
                      <w:rFonts w:ascii="Arial" w:hAnsi="Arial"/>
                      <w:b/>
                      <w:bCs w:val="0"/>
                      <w:sz w:val="24"/>
                      <w:szCs w:val="24"/>
                    </w:rPr>
                  </w:pPr>
                  <w:r w:rsidRPr="00CB78B3">
                    <w:rPr>
                      <w:rFonts w:ascii="Arial" w:hAnsi="Arial"/>
                      <w:b/>
                      <w:bCs w:val="0"/>
                      <w:sz w:val="24"/>
                      <w:szCs w:val="24"/>
                    </w:rPr>
                    <w:t>E</w:t>
                  </w:r>
                </w:p>
              </w:tc>
              <w:tc>
                <w:tcPr>
                  <w:tcW w:w="0" w:type="auto"/>
                  <w:shd w:val="clear" w:color="auto" w:fill="auto"/>
                </w:tcPr>
                <w:p w:rsidR="0070661F" w:rsidRPr="00CB78B3" w:rsidRDefault="0070661F" w:rsidP="00DE5EAA">
                  <w:pPr>
                    <w:pStyle w:val="Heading1"/>
                    <w:pageBreakBefore/>
                    <w:rPr>
                      <w:rFonts w:ascii="Arial" w:hAnsi="Arial"/>
                      <w:sz w:val="24"/>
                      <w:szCs w:val="24"/>
                    </w:rPr>
                  </w:pPr>
                  <w:r w:rsidRPr="00CB78B3">
                    <w:rPr>
                      <w:rFonts w:ascii="Arial" w:hAnsi="Arial"/>
                      <w:sz w:val="24"/>
                      <w:szCs w:val="24"/>
                    </w:rPr>
                    <w:t>Economic Background</w:t>
                  </w:r>
                </w:p>
              </w:tc>
              <w:tc>
                <w:tcPr>
                  <w:tcW w:w="0" w:type="auto"/>
                  <w:shd w:val="clear" w:color="auto" w:fill="auto"/>
                </w:tcPr>
                <w:p w:rsidR="0070661F" w:rsidRPr="00CB78B3" w:rsidRDefault="0070661F" w:rsidP="00DE5EAA">
                  <w:pPr>
                    <w:pStyle w:val="Heading1"/>
                    <w:pageBreakBefore/>
                    <w:rPr>
                      <w:rFonts w:ascii="Arial" w:hAnsi="Arial"/>
                      <w:sz w:val="24"/>
                      <w:szCs w:val="24"/>
                    </w:rPr>
                  </w:pPr>
                </w:p>
              </w:tc>
            </w:tr>
            <w:tr w:rsidR="0070661F" w:rsidRPr="00CB78B3" w:rsidTr="00DE5EAA">
              <w:tc>
                <w:tcPr>
                  <w:tcW w:w="0" w:type="auto"/>
                  <w:shd w:val="clear" w:color="auto" w:fill="auto"/>
                </w:tcPr>
                <w:p w:rsidR="0070661F" w:rsidRPr="00CB78B3" w:rsidRDefault="0070661F" w:rsidP="00DE5EAA">
                  <w:pPr>
                    <w:pStyle w:val="Heading1"/>
                    <w:pageBreakBefore/>
                    <w:rPr>
                      <w:rFonts w:ascii="Arial" w:hAnsi="Arial"/>
                      <w:b/>
                      <w:bCs w:val="0"/>
                      <w:sz w:val="24"/>
                      <w:szCs w:val="24"/>
                    </w:rPr>
                  </w:pPr>
                  <w:r w:rsidRPr="00CB78B3">
                    <w:rPr>
                      <w:rFonts w:ascii="Arial" w:hAnsi="Arial"/>
                      <w:b/>
                      <w:bCs w:val="0"/>
                      <w:sz w:val="24"/>
                      <w:szCs w:val="24"/>
                    </w:rPr>
                    <w:t>F</w:t>
                  </w:r>
                </w:p>
              </w:tc>
              <w:tc>
                <w:tcPr>
                  <w:tcW w:w="0" w:type="auto"/>
                  <w:shd w:val="clear" w:color="auto" w:fill="auto"/>
                </w:tcPr>
                <w:p w:rsidR="0070661F" w:rsidRPr="00CB78B3" w:rsidRDefault="0070661F" w:rsidP="00DE5EAA">
                  <w:pPr>
                    <w:pStyle w:val="Heading1"/>
                    <w:pageBreakBefore/>
                    <w:rPr>
                      <w:rFonts w:ascii="Arial" w:hAnsi="Arial"/>
                      <w:sz w:val="24"/>
                      <w:szCs w:val="24"/>
                    </w:rPr>
                  </w:pPr>
                  <w:r w:rsidRPr="00CB78B3">
                    <w:rPr>
                      <w:rFonts w:ascii="Arial" w:hAnsi="Arial"/>
                      <w:sz w:val="24"/>
                      <w:szCs w:val="24"/>
                    </w:rPr>
                    <w:t>Counterparties</w:t>
                  </w:r>
                </w:p>
              </w:tc>
              <w:tc>
                <w:tcPr>
                  <w:tcW w:w="0" w:type="auto"/>
                  <w:shd w:val="clear" w:color="auto" w:fill="auto"/>
                </w:tcPr>
                <w:p w:rsidR="0070661F" w:rsidRPr="00CB78B3" w:rsidRDefault="0070661F" w:rsidP="00DE5EAA">
                  <w:pPr>
                    <w:pStyle w:val="Heading1"/>
                    <w:pageBreakBefore/>
                    <w:rPr>
                      <w:rFonts w:ascii="Arial" w:hAnsi="Arial"/>
                      <w:sz w:val="24"/>
                      <w:szCs w:val="24"/>
                    </w:rPr>
                  </w:pPr>
                </w:p>
              </w:tc>
            </w:tr>
            <w:tr w:rsidR="0070661F" w:rsidRPr="00CB78B3" w:rsidTr="00DE5EAA">
              <w:tc>
                <w:tcPr>
                  <w:tcW w:w="0" w:type="auto"/>
                  <w:shd w:val="clear" w:color="auto" w:fill="auto"/>
                </w:tcPr>
                <w:p w:rsidR="0070661F" w:rsidRPr="00CB78B3" w:rsidRDefault="0070661F" w:rsidP="00DE5EAA">
                  <w:pPr>
                    <w:pStyle w:val="Heading1"/>
                    <w:pageBreakBefore/>
                    <w:rPr>
                      <w:rFonts w:ascii="Arial" w:hAnsi="Arial"/>
                      <w:b/>
                      <w:bCs w:val="0"/>
                      <w:sz w:val="24"/>
                      <w:szCs w:val="24"/>
                    </w:rPr>
                  </w:pPr>
                  <w:r w:rsidRPr="00CB78B3">
                    <w:rPr>
                      <w:rFonts w:ascii="Arial" w:hAnsi="Arial"/>
                      <w:b/>
                      <w:bCs w:val="0"/>
                      <w:sz w:val="24"/>
                      <w:szCs w:val="24"/>
                    </w:rPr>
                    <w:t>G</w:t>
                  </w:r>
                </w:p>
              </w:tc>
              <w:tc>
                <w:tcPr>
                  <w:tcW w:w="0" w:type="auto"/>
                  <w:shd w:val="clear" w:color="auto" w:fill="auto"/>
                </w:tcPr>
                <w:p w:rsidR="0070661F" w:rsidRPr="00CB78B3" w:rsidRDefault="0070661F" w:rsidP="00DE5EAA">
                  <w:pPr>
                    <w:pStyle w:val="Heading1"/>
                    <w:pageBreakBefore/>
                    <w:rPr>
                      <w:rFonts w:ascii="Arial" w:hAnsi="Arial"/>
                      <w:sz w:val="24"/>
                      <w:szCs w:val="24"/>
                    </w:rPr>
                  </w:pPr>
                  <w:r w:rsidRPr="00CB78B3">
                    <w:rPr>
                      <w:rFonts w:ascii="Arial" w:hAnsi="Arial"/>
                      <w:sz w:val="24"/>
                      <w:szCs w:val="24"/>
                    </w:rPr>
                    <w:t>Affordability Prudential Indicators</w:t>
                  </w:r>
                </w:p>
              </w:tc>
              <w:tc>
                <w:tcPr>
                  <w:tcW w:w="0" w:type="auto"/>
                  <w:shd w:val="clear" w:color="auto" w:fill="auto"/>
                </w:tcPr>
                <w:p w:rsidR="0070661F" w:rsidRPr="00CB78B3" w:rsidRDefault="0070661F" w:rsidP="00DE5EAA">
                  <w:pPr>
                    <w:pStyle w:val="Heading1"/>
                    <w:pageBreakBefore/>
                    <w:rPr>
                      <w:rFonts w:ascii="Arial" w:hAnsi="Arial"/>
                      <w:sz w:val="24"/>
                      <w:szCs w:val="24"/>
                    </w:rPr>
                  </w:pPr>
                </w:p>
              </w:tc>
            </w:tr>
          </w:tbl>
          <w:p w:rsidR="006F7B39" w:rsidRPr="00CB78B3" w:rsidRDefault="006F7B39" w:rsidP="00A664E4">
            <w:pPr>
              <w:pStyle w:val="Infotext"/>
            </w:pPr>
            <w:r w:rsidRPr="00CB78B3">
              <w:rPr>
                <w:szCs w:val="28"/>
              </w:rPr>
              <w:t xml:space="preserve">      </w:t>
            </w:r>
          </w:p>
        </w:tc>
      </w:tr>
    </w:tbl>
    <w:p w:rsidR="00DA2B16" w:rsidRPr="00DA2B16" w:rsidRDefault="00DA2B16" w:rsidP="00DA2B16">
      <w:pPr>
        <w:ind w:right="-480"/>
        <w:outlineLvl w:val="0"/>
        <w:rPr>
          <w:rFonts w:ascii="Arial Black" w:hAnsi="Arial Black" w:cs="Arial"/>
          <w:bCs/>
          <w:sz w:val="32"/>
          <w:szCs w:val="32"/>
        </w:rPr>
        <w:sectPr w:rsidR="00DA2B16" w:rsidRPr="00DA2B16" w:rsidSect="00140C7F">
          <w:footerReference w:type="first" r:id="rId9"/>
          <w:pgSz w:w="11909" w:h="16834" w:code="9"/>
          <w:pgMar w:top="426" w:right="1800" w:bottom="1843" w:left="1800" w:header="720" w:footer="81" w:gutter="0"/>
          <w:cols w:space="720"/>
          <w:titlePg/>
          <w:docGrid w:linePitch="360"/>
        </w:sectPr>
      </w:pPr>
    </w:p>
    <w:p w:rsidR="00DA2B16" w:rsidRPr="00F76E59" w:rsidRDefault="00DA2B16" w:rsidP="00DA2B16">
      <w:pPr>
        <w:rPr>
          <w:rFonts w:ascii="Arial Black" w:hAnsi="Arial Black" w:cs="Arial"/>
          <w:b/>
          <w:sz w:val="36"/>
          <w:szCs w:val="36"/>
        </w:rPr>
      </w:pPr>
      <w:r w:rsidRPr="00F76E59">
        <w:rPr>
          <w:rFonts w:ascii="Arial Black" w:hAnsi="Arial Black" w:cs="Arial"/>
          <w:b/>
          <w:sz w:val="36"/>
          <w:szCs w:val="36"/>
        </w:rPr>
        <w:lastRenderedPageBreak/>
        <w:t>Section 2 – Report</w:t>
      </w:r>
    </w:p>
    <w:p w:rsidR="00DA2B16" w:rsidRPr="00F76E59" w:rsidRDefault="00DA2B16" w:rsidP="00DA2B16">
      <w:pPr>
        <w:rPr>
          <w:b/>
          <w:sz w:val="32"/>
          <w:szCs w:val="32"/>
        </w:rPr>
      </w:pPr>
    </w:p>
    <w:p w:rsidR="00DA2B16" w:rsidRPr="00F76E59" w:rsidRDefault="00DA2B16" w:rsidP="00DA2B16">
      <w:pPr>
        <w:rPr>
          <w:b/>
          <w:sz w:val="32"/>
          <w:szCs w:val="32"/>
        </w:rPr>
      </w:pPr>
      <w:r w:rsidRPr="00F76E59">
        <w:rPr>
          <w:b/>
          <w:sz w:val="32"/>
          <w:szCs w:val="32"/>
        </w:rPr>
        <w:t>1. INTRODUCTION</w:t>
      </w:r>
    </w:p>
    <w:p w:rsidR="00DA2B16" w:rsidRPr="00F76E59" w:rsidRDefault="00DA2B16" w:rsidP="00DA2B16">
      <w:pPr>
        <w:rPr>
          <w:rFonts w:cs="Arial"/>
          <w:szCs w:val="24"/>
        </w:rPr>
      </w:pPr>
    </w:p>
    <w:p w:rsidR="00DA2B16" w:rsidRPr="00F76E59" w:rsidRDefault="003B447E" w:rsidP="003B447E">
      <w:pPr>
        <w:rPr>
          <w:rFonts w:cs="Arial"/>
          <w:b/>
          <w:sz w:val="28"/>
          <w:szCs w:val="28"/>
        </w:rPr>
      </w:pPr>
      <w:r>
        <w:rPr>
          <w:rFonts w:cs="Arial"/>
          <w:b/>
          <w:sz w:val="28"/>
          <w:szCs w:val="28"/>
        </w:rPr>
        <w:t xml:space="preserve">1.1 </w:t>
      </w:r>
      <w:r w:rsidR="00DA2B16" w:rsidRPr="00F76E59">
        <w:rPr>
          <w:rFonts w:cs="Arial"/>
          <w:b/>
          <w:sz w:val="28"/>
          <w:szCs w:val="28"/>
        </w:rPr>
        <w:t>Background</w:t>
      </w:r>
    </w:p>
    <w:p w:rsidR="00DA2B16" w:rsidRPr="00F76E59" w:rsidRDefault="00DA2B16" w:rsidP="00DA2B16">
      <w:pPr>
        <w:rPr>
          <w:rFonts w:cs="Arial"/>
          <w:b/>
          <w:sz w:val="28"/>
          <w:szCs w:val="28"/>
        </w:rPr>
      </w:pPr>
    </w:p>
    <w:p w:rsidR="00DA2B16" w:rsidRPr="00F76E59" w:rsidRDefault="00DA2B16" w:rsidP="00A3306A">
      <w:pPr>
        <w:numPr>
          <w:ilvl w:val="0"/>
          <w:numId w:val="42"/>
        </w:numPr>
        <w:ind w:left="567" w:hanging="567"/>
        <w:jc w:val="both"/>
        <w:rPr>
          <w:rFonts w:cs="Arial"/>
          <w:noProof/>
          <w:szCs w:val="24"/>
        </w:rPr>
      </w:pPr>
      <w:r w:rsidRPr="00F76E59">
        <w:rPr>
          <w:rFonts w:cs="Arial"/>
          <w:noProof/>
          <w:szCs w:val="24"/>
        </w:rPr>
        <w:t>The Chartered Institute of Public Finance and Accountancy (CIPFA) defines Treasury  Management as:</w:t>
      </w:r>
    </w:p>
    <w:p w:rsidR="00DA2B16" w:rsidRPr="00F76E59" w:rsidRDefault="00DA2B16" w:rsidP="00DA2B16">
      <w:pPr>
        <w:tabs>
          <w:tab w:val="num" w:pos="540"/>
        </w:tabs>
        <w:ind w:left="561"/>
        <w:jc w:val="both"/>
        <w:rPr>
          <w:rFonts w:cs="Arial"/>
          <w:i/>
          <w:noProof/>
          <w:szCs w:val="24"/>
        </w:rPr>
      </w:pPr>
      <w:r w:rsidRPr="00F76E59">
        <w:rPr>
          <w:rFonts w:cs="Arial"/>
          <w:noProof/>
          <w:szCs w:val="24"/>
        </w:rPr>
        <w:br/>
      </w:r>
      <w:r w:rsidRPr="00F76E59">
        <w:rPr>
          <w:rFonts w:cs="Arial"/>
          <w:i/>
          <w:noProof/>
          <w:szCs w:val="24"/>
        </w:rPr>
        <w:t>“The management of the local authority’s</w:t>
      </w:r>
      <w:r w:rsidR="000F5730">
        <w:rPr>
          <w:rFonts w:cs="Arial"/>
          <w:i/>
          <w:noProof/>
          <w:szCs w:val="24"/>
        </w:rPr>
        <w:t xml:space="preserve"> borrowing </w:t>
      </w:r>
      <w:r w:rsidRPr="00F76E59">
        <w:rPr>
          <w:rFonts w:cs="Arial"/>
          <w:i/>
          <w:noProof/>
          <w:szCs w:val="24"/>
        </w:rPr>
        <w:t xml:space="preserve"> investments and cash flows, its banking, money market and capital market transactions; the effective control of the risks associated with those activities; and the pursuit of optimum performance consistent with those risks.”</w:t>
      </w:r>
    </w:p>
    <w:p w:rsidR="00DA2B16" w:rsidRPr="00F76E59" w:rsidRDefault="00DA2B16" w:rsidP="00DA2B16">
      <w:pPr>
        <w:rPr>
          <w:rFonts w:cs="Arial"/>
          <w:b/>
          <w:szCs w:val="24"/>
        </w:rPr>
      </w:pPr>
    </w:p>
    <w:p w:rsidR="00DA2B16" w:rsidRDefault="00DA2B16" w:rsidP="006714CC">
      <w:pPr>
        <w:ind w:left="561" w:hanging="561"/>
        <w:jc w:val="both"/>
        <w:rPr>
          <w:rFonts w:cs="Arial"/>
          <w:noProof/>
          <w:szCs w:val="24"/>
        </w:rPr>
      </w:pPr>
      <w:r w:rsidRPr="00F76E59">
        <w:rPr>
          <w:rFonts w:cs="Arial"/>
          <w:szCs w:val="24"/>
        </w:rPr>
        <w:t>2</w:t>
      </w:r>
      <w:r w:rsidRPr="00F76E59">
        <w:rPr>
          <w:rFonts w:cs="Arial"/>
          <w:b/>
          <w:szCs w:val="24"/>
        </w:rPr>
        <w:t>.</w:t>
      </w:r>
      <w:r w:rsidR="00740055">
        <w:rPr>
          <w:rFonts w:cs="Arial"/>
          <w:b/>
          <w:szCs w:val="24"/>
        </w:rPr>
        <w:tab/>
      </w:r>
      <w:r w:rsidRPr="00F76E59">
        <w:rPr>
          <w:rFonts w:cs="Arial"/>
          <w:noProof/>
          <w:szCs w:val="24"/>
        </w:rPr>
        <w:t>The Council is required to operate a balanced budget, which broadly means that cash raised during the year will meet cash expenditure. The first main function of the treasury management operation is to ensure that this cash flow is adequately planned, with cash being available when it is needed.</w:t>
      </w:r>
      <w:r w:rsidRPr="00DA2B16">
        <w:rPr>
          <w:rFonts w:cs="Arial"/>
          <w:noProof/>
          <w:szCs w:val="24"/>
        </w:rPr>
        <w:t xml:space="preserve"> </w:t>
      </w:r>
      <w:r w:rsidRPr="006714CC">
        <w:rPr>
          <w:rFonts w:cs="Arial"/>
          <w:noProof/>
          <w:szCs w:val="24"/>
        </w:rPr>
        <w:t xml:space="preserve">Surplus monies are invested with </w:t>
      </w:r>
      <w:r w:rsidR="006714CC" w:rsidRPr="006714CC">
        <w:rPr>
          <w:rFonts w:cs="Arial"/>
          <w:noProof/>
          <w:szCs w:val="24"/>
        </w:rPr>
        <w:t>approved</w:t>
      </w:r>
      <w:r w:rsidRPr="006714CC">
        <w:rPr>
          <w:rFonts w:cs="Arial"/>
          <w:noProof/>
          <w:szCs w:val="24"/>
        </w:rPr>
        <w:t xml:space="preserve"> counterparties or instruments commensurate with the Council’s </w:t>
      </w:r>
      <w:r w:rsidR="006714CC" w:rsidRPr="006714CC">
        <w:rPr>
          <w:rFonts w:cs="Arial"/>
          <w:noProof/>
          <w:szCs w:val="24"/>
        </w:rPr>
        <w:t>current investment strategy</w:t>
      </w:r>
      <w:r w:rsidRPr="006714CC">
        <w:rPr>
          <w:rFonts w:cs="Arial"/>
          <w:noProof/>
          <w:szCs w:val="24"/>
        </w:rPr>
        <w:t>,</w:t>
      </w:r>
      <w:r w:rsidR="006714CC" w:rsidRPr="006714CC">
        <w:rPr>
          <w:rFonts w:cs="Arial"/>
          <w:noProof/>
          <w:szCs w:val="24"/>
        </w:rPr>
        <w:t xml:space="preserve"> </w:t>
      </w:r>
      <w:r w:rsidRPr="006714CC">
        <w:rPr>
          <w:rFonts w:cs="Arial"/>
          <w:noProof/>
          <w:szCs w:val="24"/>
        </w:rPr>
        <w:t>providing adequate liquidity initially before considering investment return.</w:t>
      </w:r>
    </w:p>
    <w:p w:rsidR="006714CC" w:rsidRPr="00DA2B16" w:rsidRDefault="006714CC" w:rsidP="006714CC">
      <w:pPr>
        <w:ind w:left="561" w:hanging="561"/>
        <w:jc w:val="both"/>
        <w:rPr>
          <w:rFonts w:cs="Arial"/>
          <w:noProof/>
          <w:szCs w:val="24"/>
        </w:rPr>
      </w:pPr>
    </w:p>
    <w:p w:rsidR="00DA2B16" w:rsidRPr="00F76E59" w:rsidRDefault="00DA2B16" w:rsidP="00DA2B16">
      <w:pPr>
        <w:tabs>
          <w:tab w:val="left" w:pos="561"/>
        </w:tabs>
        <w:ind w:left="561" w:hanging="561"/>
        <w:jc w:val="both"/>
        <w:rPr>
          <w:rFonts w:cs="Arial"/>
          <w:noProof/>
          <w:szCs w:val="24"/>
        </w:rPr>
      </w:pPr>
      <w:r w:rsidRPr="00DA2B16">
        <w:rPr>
          <w:rFonts w:cs="Arial"/>
          <w:noProof/>
          <w:szCs w:val="24"/>
        </w:rPr>
        <w:t>3.</w:t>
      </w:r>
      <w:r w:rsidR="00740055">
        <w:rPr>
          <w:rFonts w:cs="Arial"/>
          <w:noProof/>
          <w:szCs w:val="24"/>
        </w:rPr>
        <w:tab/>
      </w:r>
      <w:r w:rsidRPr="00F76E59">
        <w:rPr>
          <w:rFonts w:cs="Arial"/>
          <w:noProof/>
          <w:szCs w:val="24"/>
        </w:rPr>
        <w:t xml:space="preserve">The second main function of the Treasury Management service is the funding of the Council’s capital programme. This programme provides a guide to the borrowing need of the Council, essentially the longer term cash flow planning, to ensure that the Council can meet its capital spending obligations. This management of longer term cash may involve arranging long or short term loans or using longer term cash flow surpluses. On occasion, any debt previously drawn may be restructured to meet Council risk or cost objectives. </w:t>
      </w:r>
    </w:p>
    <w:p w:rsidR="00DA2B16" w:rsidRPr="00F76E59" w:rsidRDefault="00DA2B16" w:rsidP="00DA2B16">
      <w:pPr>
        <w:rPr>
          <w:rFonts w:cs="Arial"/>
          <w:b/>
          <w:szCs w:val="24"/>
        </w:rPr>
      </w:pPr>
    </w:p>
    <w:p w:rsidR="00DA2B16" w:rsidRPr="00F76E59" w:rsidRDefault="00DA2B16" w:rsidP="00DA2B16">
      <w:pPr>
        <w:ind w:left="567" w:hanging="567"/>
        <w:jc w:val="both"/>
        <w:rPr>
          <w:rFonts w:cs="Arial"/>
          <w:i/>
          <w:szCs w:val="24"/>
        </w:rPr>
      </w:pPr>
      <w:r w:rsidRPr="00F76E59">
        <w:rPr>
          <w:rFonts w:cs="Arial"/>
          <w:szCs w:val="24"/>
        </w:rPr>
        <w:t>4.</w:t>
      </w:r>
      <w:r w:rsidR="00740055">
        <w:rPr>
          <w:rFonts w:cs="Arial"/>
          <w:szCs w:val="24"/>
        </w:rPr>
        <w:tab/>
      </w:r>
      <w:r w:rsidRPr="00F76E59">
        <w:rPr>
          <w:rFonts w:cs="Arial"/>
          <w:szCs w:val="24"/>
        </w:rPr>
        <w:t>The Local Government Act 2003 and supporting regulations require the Council to ‘have regard to’ the Prudential Code (</w:t>
      </w:r>
      <w:r w:rsidRPr="00F76E59">
        <w:rPr>
          <w:rFonts w:cs="Arial"/>
          <w:iCs/>
          <w:szCs w:val="24"/>
        </w:rPr>
        <w:t xml:space="preserve">The Prudential Code for Capital Finance in Local Authorities </w:t>
      </w:r>
      <w:r w:rsidRPr="007570D5">
        <w:rPr>
          <w:rFonts w:cs="Arial"/>
          <w:iCs/>
          <w:szCs w:val="24"/>
        </w:rPr>
        <w:t>[CIPFA 201</w:t>
      </w:r>
      <w:r w:rsidR="007570D5" w:rsidRPr="007570D5">
        <w:rPr>
          <w:rFonts w:cs="Arial"/>
          <w:iCs/>
          <w:szCs w:val="24"/>
        </w:rPr>
        <w:t>7</w:t>
      </w:r>
      <w:r w:rsidRPr="007570D5">
        <w:rPr>
          <w:rFonts w:cs="Arial"/>
          <w:iCs/>
          <w:szCs w:val="24"/>
        </w:rPr>
        <w:t xml:space="preserve"> Edition]) </w:t>
      </w:r>
      <w:r w:rsidRPr="007570D5">
        <w:rPr>
          <w:rFonts w:cs="Arial"/>
          <w:szCs w:val="24"/>
        </w:rPr>
        <w:t>and Treasury Management Code</w:t>
      </w:r>
      <w:r w:rsidRPr="007570D5">
        <w:rPr>
          <w:rFonts w:cs="Arial"/>
          <w:i/>
          <w:iCs/>
          <w:szCs w:val="24"/>
        </w:rPr>
        <w:t xml:space="preserve"> </w:t>
      </w:r>
      <w:r w:rsidRPr="007570D5">
        <w:rPr>
          <w:rFonts w:cs="Arial"/>
          <w:iCs/>
          <w:szCs w:val="24"/>
        </w:rPr>
        <w:t>(Treasury Management in the Public Services: Code of Practice and Cross-Sectoral Guidance Notes [CIPFA 201</w:t>
      </w:r>
      <w:r w:rsidR="007570D5" w:rsidRPr="007570D5">
        <w:rPr>
          <w:rFonts w:cs="Arial"/>
          <w:iCs/>
          <w:szCs w:val="24"/>
        </w:rPr>
        <w:t>7</w:t>
      </w:r>
      <w:r w:rsidRPr="007570D5">
        <w:rPr>
          <w:rFonts w:cs="Arial"/>
          <w:iCs/>
          <w:szCs w:val="24"/>
        </w:rPr>
        <w:t xml:space="preserve"> Edition])</w:t>
      </w:r>
      <w:r w:rsidRPr="007570D5">
        <w:rPr>
          <w:rFonts w:cs="Arial"/>
          <w:szCs w:val="24"/>
        </w:rPr>
        <w:t>, in setting</w:t>
      </w:r>
      <w:r w:rsidRPr="00F76E59">
        <w:rPr>
          <w:rFonts w:cs="Arial"/>
          <w:szCs w:val="24"/>
        </w:rPr>
        <w:t xml:space="preserve"> Treasury and Prudential Indicators for the next three years and in ensuring that the Council’s capital investment programme is affordable, prudent and sustainable.</w:t>
      </w:r>
    </w:p>
    <w:p w:rsidR="00DA2B16" w:rsidRPr="00F76E59" w:rsidRDefault="00DA2B16" w:rsidP="00DA2B16">
      <w:pPr>
        <w:ind w:left="561"/>
        <w:jc w:val="both"/>
        <w:rPr>
          <w:rFonts w:cs="Arial"/>
          <w:b/>
          <w:i/>
          <w:szCs w:val="24"/>
        </w:rPr>
      </w:pPr>
    </w:p>
    <w:p w:rsidR="00DA2B16" w:rsidRPr="00F76E59" w:rsidRDefault="00DA2B16" w:rsidP="00DA2B16">
      <w:pPr>
        <w:ind w:left="561" w:hanging="561"/>
        <w:jc w:val="both"/>
        <w:rPr>
          <w:rFonts w:cs="Arial"/>
          <w:i/>
          <w:szCs w:val="24"/>
        </w:rPr>
      </w:pPr>
      <w:r w:rsidRPr="00F76E59">
        <w:rPr>
          <w:rFonts w:cs="Arial"/>
          <w:szCs w:val="24"/>
        </w:rPr>
        <w:t>5.</w:t>
      </w:r>
      <w:r w:rsidR="00740055">
        <w:rPr>
          <w:rFonts w:cs="Arial"/>
          <w:szCs w:val="24"/>
        </w:rPr>
        <w:tab/>
      </w:r>
      <w:r w:rsidRPr="00F76E59">
        <w:rPr>
          <w:rFonts w:cs="Arial"/>
          <w:szCs w:val="24"/>
        </w:rPr>
        <w:t xml:space="preserve">The Act, the Codes and Department for Communities and Local Government Investment </w:t>
      </w:r>
      <w:r w:rsidRPr="004149DB">
        <w:rPr>
          <w:rFonts w:cs="Arial"/>
          <w:szCs w:val="24"/>
        </w:rPr>
        <w:t>Guidance (201</w:t>
      </w:r>
      <w:r w:rsidR="00B67382" w:rsidRPr="004149DB">
        <w:rPr>
          <w:rFonts w:cs="Arial"/>
          <w:szCs w:val="24"/>
        </w:rPr>
        <w:t>0</w:t>
      </w:r>
      <w:r w:rsidR="006676C8" w:rsidRPr="006676C8">
        <w:rPr>
          <w:rFonts w:cs="Arial"/>
          <w:szCs w:val="24"/>
        </w:rPr>
        <w:t>)</w:t>
      </w:r>
      <w:r w:rsidRPr="006676C8">
        <w:rPr>
          <w:rFonts w:cs="Arial"/>
          <w:szCs w:val="24"/>
        </w:rPr>
        <w:t xml:space="preserve"> require</w:t>
      </w:r>
      <w:r w:rsidRPr="00F76E59">
        <w:rPr>
          <w:rFonts w:cs="Arial"/>
          <w:szCs w:val="24"/>
        </w:rPr>
        <w:t xml:space="preserve"> the Council to set out its Treasury Strategy for Borrowing and to prepare an Annual Investment Strategy that establishes the Council’s policies for managing its investments and for giving priority to the security and liquidity of those investments. A summary of the relevant legislation, regulations and guidance is included as Appendix </w:t>
      </w:r>
      <w:r w:rsidR="006676C8">
        <w:rPr>
          <w:rFonts w:cs="Arial"/>
          <w:szCs w:val="24"/>
        </w:rPr>
        <w:t>A</w:t>
      </w:r>
      <w:r w:rsidRPr="00F76E59">
        <w:rPr>
          <w:rFonts w:cs="Arial"/>
          <w:szCs w:val="24"/>
        </w:rPr>
        <w:t>.</w:t>
      </w:r>
    </w:p>
    <w:p w:rsidR="00DA2B16" w:rsidRPr="00F76E59" w:rsidRDefault="00DA2B16" w:rsidP="00DA2B16">
      <w:pPr>
        <w:ind w:left="561" w:hanging="561"/>
        <w:jc w:val="both"/>
        <w:rPr>
          <w:rFonts w:cs="Arial"/>
          <w:szCs w:val="24"/>
        </w:rPr>
      </w:pPr>
    </w:p>
    <w:p w:rsidR="00DA2B16" w:rsidRPr="00F76E59" w:rsidRDefault="00DA2B16" w:rsidP="00DA2B16">
      <w:pPr>
        <w:ind w:left="561" w:hanging="561"/>
        <w:jc w:val="both"/>
        <w:rPr>
          <w:rFonts w:cs="Arial"/>
          <w:iCs/>
          <w:szCs w:val="24"/>
        </w:rPr>
      </w:pPr>
      <w:r w:rsidRPr="00F76E59">
        <w:rPr>
          <w:rFonts w:cs="Arial"/>
          <w:szCs w:val="24"/>
        </w:rPr>
        <w:t>6.</w:t>
      </w:r>
      <w:r w:rsidR="00014C29">
        <w:rPr>
          <w:rFonts w:cs="Arial"/>
          <w:szCs w:val="24"/>
        </w:rPr>
        <w:tab/>
      </w:r>
      <w:r w:rsidRPr="00F76E59">
        <w:rPr>
          <w:rFonts w:cs="Arial"/>
          <w:szCs w:val="24"/>
        </w:rPr>
        <w:t xml:space="preserve">The budget for each financial year includes the revenue costs that flow from capital financing decisions. Under the Treasury Management Code, </w:t>
      </w:r>
      <w:r w:rsidR="00FF45CB">
        <w:rPr>
          <w:rFonts w:cs="Arial"/>
          <w:szCs w:val="24"/>
        </w:rPr>
        <w:lastRenderedPageBreak/>
        <w:t>i</w:t>
      </w:r>
      <w:r w:rsidRPr="00F76E59">
        <w:rPr>
          <w:rFonts w:cs="Arial"/>
          <w:szCs w:val="24"/>
        </w:rPr>
        <w:t xml:space="preserve">ncreases in capital expenditure should be limited to levels whereby increases in interest charges and running costs </w:t>
      </w:r>
      <w:r w:rsidRPr="00F76E59">
        <w:rPr>
          <w:rFonts w:cs="Arial"/>
          <w:iCs/>
          <w:szCs w:val="24"/>
        </w:rPr>
        <w:t>are affordable within the projected income of the Council for the foreseeable future.</w:t>
      </w:r>
    </w:p>
    <w:p w:rsidR="00DA2B16" w:rsidRPr="00F76E59" w:rsidRDefault="00DA2B16" w:rsidP="00DA2B16">
      <w:pPr>
        <w:ind w:firstLine="567"/>
        <w:jc w:val="both"/>
        <w:rPr>
          <w:rFonts w:cs="Arial"/>
          <w:iCs/>
          <w:szCs w:val="24"/>
        </w:rPr>
      </w:pPr>
    </w:p>
    <w:p w:rsidR="00DA2B16" w:rsidRPr="00F76E59" w:rsidRDefault="00DA2B16" w:rsidP="005C387C">
      <w:pPr>
        <w:numPr>
          <w:ilvl w:val="0"/>
          <w:numId w:val="16"/>
        </w:numPr>
        <w:tabs>
          <w:tab w:val="num" w:pos="561"/>
        </w:tabs>
        <w:ind w:left="561" w:hanging="561"/>
        <w:jc w:val="both"/>
        <w:rPr>
          <w:rFonts w:cs="Arial"/>
          <w:bCs/>
          <w:szCs w:val="24"/>
        </w:rPr>
      </w:pPr>
      <w:r w:rsidRPr="00F76E59">
        <w:rPr>
          <w:rFonts w:cs="Arial"/>
          <w:bCs/>
          <w:szCs w:val="24"/>
        </w:rPr>
        <w:t>The Council regards the successful identification, monitoring and control of risk to be the prime criteria by which the effectiveness of its treasury management activities will be measured. Accordingly, the analysis and reporting of treasury management activities will focus on their risk imp</w:t>
      </w:r>
      <w:r w:rsidR="00014C29">
        <w:rPr>
          <w:rFonts w:cs="Arial"/>
          <w:bCs/>
          <w:szCs w:val="24"/>
        </w:rPr>
        <w:t>lications for the organisation.</w:t>
      </w:r>
    </w:p>
    <w:p w:rsidR="00DA2B16" w:rsidRPr="00F76E59" w:rsidRDefault="00DA2B16" w:rsidP="00DA2B16">
      <w:pPr>
        <w:jc w:val="both"/>
        <w:rPr>
          <w:rFonts w:cs="Arial"/>
          <w:bCs/>
          <w:szCs w:val="24"/>
        </w:rPr>
      </w:pPr>
    </w:p>
    <w:p w:rsidR="00DA2B16" w:rsidRPr="00F76E59" w:rsidRDefault="00DA2B16" w:rsidP="005C387C">
      <w:pPr>
        <w:numPr>
          <w:ilvl w:val="0"/>
          <w:numId w:val="16"/>
        </w:numPr>
        <w:tabs>
          <w:tab w:val="num" w:pos="561"/>
        </w:tabs>
        <w:ind w:left="561" w:hanging="561"/>
        <w:jc w:val="both"/>
        <w:rPr>
          <w:rFonts w:cs="Arial"/>
          <w:szCs w:val="24"/>
        </w:rPr>
      </w:pPr>
      <w:r w:rsidRPr="00F76E59">
        <w:rPr>
          <w:rFonts w:cs="Arial"/>
          <w:szCs w:val="24"/>
        </w:rPr>
        <w:t>The Council recognises that effective treasury management will provide support towards the achievement of its business and service objectives. It is therefore committed to the principles of achieving value for money in treasury management, and to employing suitable comprehensive performance measurement techniques, within the context of effective risk management.</w:t>
      </w:r>
    </w:p>
    <w:p w:rsidR="00DA2B16" w:rsidRDefault="00DA2B16" w:rsidP="00DA2B16">
      <w:pPr>
        <w:jc w:val="both"/>
        <w:rPr>
          <w:rFonts w:cs="Arial"/>
          <w:iCs/>
          <w:sz w:val="22"/>
          <w:szCs w:val="22"/>
        </w:rPr>
      </w:pPr>
    </w:p>
    <w:p w:rsidR="000450CA" w:rsidRDefault="000450CA" w:rsidP="00DA2B16">
      <w:pPr>
        <w:jc w:val="both"/>
        <w:rPr>
          <w:rFonts w:cs="Arial"/>
          <w:b/>
          <w:iCs/>
          <w:sz w:val="28"/>
          <w:szCs w:val="28"/>
        </w:rPr>
      </w:pPr>
    </w:p>
    <w:p w:rsidR="00DA2B16" w:rsidRPr="00F76E59" w:rsidRDefault="00DA2B16" w:rsidP="00DA2B16">
      <w:pPr>
        <w:jc w:val="both"/>
        <w:rPr>
          <w:rFonts w:cs="Arial"/>
          <w:b/>
          <w:iCs/>
          <w:sz w:val="28"/>
          <w:szCs w:val="28"/>
        </w:rPr>
      </w:pPr>
      <w:r w:rsidRPr="00F76E59">
        <w:rPr>
          <w:rFonts w:cs="Arial"/>
          <w:b/>
          <w:iCs/>
          <w:sz w:val="28"/>
          <w:szCs w:val="28"/>
        </w:rPr>
        <w:t xml:space="preserve">1.2 </w:t>
      </w:r>
      <w:r w:rsidR="00DF0798" w:rsidRPr="00F76E59">
        <w:rPr>
          <w:rFonts w:cs="Arial"/>
          <w:b/>
          <w:iCs/>
          <w:sz w:val="28"/>
          <w:szCs w:val="28"/>
        </w:rPr>
        <w:t xml:space="preserve">CIPFA </w:t>
      </w:r>
      <w:r w:rsidR="00146434">
        <w:rPr>
          <w:rFonts w:cs="Arial"/>
          <w:b/>
          <w:iCs/>
          <w:sz w:val="28"/>
          <w:szCs w:val="28"/>
        </w:rPr>
        <w:t>r</w:t>
      </w:r>
      <w:r w:rsidRPr="00F76E59">
        <w:rPr>
          <w:rFonts w:cs="Arial"/>
          <w:b/>
          <w:iCs/>
          <w:sz w:val="28"/>
          <w:szCs w:val="28"/>
        </w:rPr>
        <w:t xml:space="preserve">equirements </w:t>
      </w:r>
    </w:p>
    <w:p w:rsidR="00DA2B16" w:rsidRPr="00F76E59" w:rsidRDefault="00DA2B16" w:rsidP="00DA2B16">
      <w:pPr>
        <w:jc w:val="both"/>
        <w:rPr>
          <w:rFonts w:cs="Arial"/>
          <w:iCs/>
          <w:sz w:val="22"/>
          <w:szCs w:val="22"/>
        </w:rPr>
      </w:pPr>
    </w:p>
    <w:p w:rsidR="00DA2B16" w:rsidRPr="00F76E59" w:rsidRDefault="00DA2B16" w:rsidP="00DA2B16">
      <w:pPr>
        <w:ind w:left="561" w:hanging="561"/>
        <w:jc w:val="both"/>
        <w:rPr>
          <w:rFonts w:cs="Arial"/>
          <w:szCs w:val="24"/>
        </w:rPr>
      </w:pPr>
      <w:r w:rsidRPr="00F76E59">
        <w:rPr>
          <w:rFonts w:cs="Arial"/>
          <w:szCs w:val="24"/>
        </w:rPr>
        <w:t>9.</w:t>
      </w:r>
      <w:r w:rsidRPr="00F76E59">
        <w:rPr>
          <w:rFonts w:cs="Arial"/>
          <w:szCs w:val="24"/>
        </w:rPr>
        <w:tab/>
        <w:t xml:space="preserve">The Council has formally adopted the Treasury Management Code, the primary requirements of which are as follows: </w:t>
      </w:r>
    </w:p>
    <w:p w:rsidR="00DA2B16" w:rsidRPr="00F76E59" w:rsidRDefault="00DA2B16" w:rsidP="00DA2B16">
      <w:pPr>
        <w:jc w:val="both"/>
        <w:rPr>
          <w:rFonts w:cs="Arial"/>
          <w:szCs w:val="24"/>
        </w:rPr>
      </w:pPr>
    </w:p>
    <w:p w:rsidR="00DA2B16" w:rsidRPr="00F76E59" w:rsidRDefault="00DA2B16" w:rsidP="005C387C">
      <w:pPr>
        <w:numPr>
          <w:ilvl w:val="0"/>
          <w:numId w:val="17"/>
        </w:numPr>
        <w:jc w:val="both"/>
        <w:rPr>
          <w:rFonts w:cs="Arial"/>
          <w:szCs w:val="24"/>
        </w:rPr>
      </w:pPr>
      <w:r w:rsidRPr="00F76E59">
        <w:rPr>
          <w:rFonts w:cs="Arial"/>
          <w:szCs w:val="24"/>
        </w:rPr>
        <w:t>Creation and maintenance of a Treasury Management Policy Statement which sets out the policies and objectives of the Council’s treasury management activities.</w:t>
      </w:r>
    </w:p>
    <w:p w:rsidR="00DA2B16" w:rsidRPr="00F76E59" w:rsidRDefault="00DA2B16" w:rsidP="00DA2B16">
      <w:pPr>
        <w:ind w:left="567"/>
        <w:jc w:val="both"/>
        <w:rPr>
          <w:rFonts w:cs="Arial"/>
          <w:szCs w:val="24"/>
        </w:rPr>
      </w:pPr>
    </w:p>
    <w:p w:rsidR="00DA2B16" w:rsidRPr="00F76E59" w:rsidRDefault="00DA2B16" w:rsidP="005C387C">
      <w:pPr>
        <w:numPr>
          <w:ilvl w:val="0"/>
          <w:numId w:val="17"/>
        </w:numPr>
        <w:jc w:val="both"/>
        <w:rPr>
          <w:rFonts w:cs="Arial"/>
          <w:szCs w:val="24"/>
        </w:rPr>
      </w:pPr>
      <w:r w:rsidRPr="00F76E59">
        <w:rPr>
          <w:rFonts w:cs="Arial"/>
          <w:szCs w:val="24"/>
        </w:rPr>
        <w:t>Creation and maintenance of Treasury Management Practices (“TMPs”) that set out the manner in which the Council will seek to achieve those policies and objectives.</w:t>
      </w:r>
    </w:p>
    <w:p w:rsidR="00DA2B16" w:rsidRPr="00F76E59" w:rsidRDefault="00DA2B16" w:rsidP="00DA2B16">
      <w:pPr>
        <w:jc w:val="both"/>
        <w:rPr>
          <w:rFonts w:cs="Arial"/>
          <w:szCs w:val="24"/>
        </w:rPr>
      </w:pPr>
    </w:p>
    <w:p w:rsidR="00DA2B16" w:rsidRPr="00F76E59" w:rsidRDefault="00DA2B16" w:rsidP="00014C29">
      <w:pPr>
        <w:numPr>
          <w:ilvl w:val="0"/>
          <w:numId w:val="17"/>
        </w:numPr>
        <w:tabs>
          <w:tab w:val="left" w:pos="567"/>
        </w:tabs>
        <w:jc w:val="both"/>
        <w:rPr>
          <w:rFonts w:cs="Arial"/>
          <w:szCs w:val="24"/>
        </w:rPr>
      </w:pPr>
      <w:r w:rsidRPr="00F76E59">
        <w:rPr>
          <w:rFonts w:cs="Arial"/>
          <w:szCs w:val="24"/>
        </w:rPr>
        <w:t>Receipt by the full Council and/or Cabinet of an annual Treasury Management Strategy Statement - including the Annual Investment Strategy and Minimum Revenue Provision Policy - for the year ahead, a Half-year Review Report and an Annual Report (stewardship report) covering activities during the previous year.</w:t>
      </w:r>
    </w:p>
    <w:p w:rsidR="006714CC" w:rsidRDefault="006714CC" w:rsidP="009608CE">
      <w:pPr>
        <w:ind w:left="1320"/>
        <w:jc w:val="both"/>
        <w:rPr>
          <w:rFonts w:cs="Arial"/>
          <w:b/>
          <w:color w:val="FF0000"/>
          <w:szCs w:val="24"/>
        </w:rPr>
      </w:pPr>
    </w:p>
    <w:p w:rsidR="00DA2B16" w:rsidRPr="00F76E59" w:rsidRDefault="00DA2B16" w:rsidP="005C387C">
      <w:pPr>
        <w:numPr>
          <w:ilvl w:val="0"/>
          <w:numId w:val="17"/>
        </w:numPr>
        <w:jc w:val="both"/>
        <w:rPr>
          <w:rFonts w:cs="Arial"/>
          <w:szCs w:val="24"/>
        </w:rPr>
      </w:pPr>
      <w:r w:rsidRPr="00F76E59">
        <w:rPr>
          <w:rFonts w:cs="Arial"/>
          <w:szCs w:val="24"/>
        </w:rPr>
        <w:t>Delegation by the Council of responsibilities for implementing and monitoring treasury management policies and practices and for the execution and administration of treasury management decisions.</w:t>
      </w:r>
    </w:p>
    <w:p w:rsidR="00DA2B16" w:rsidRPr="00F76E59" w:rsidRDefault="00DA2B16" w:rsidP="00DA2B16">
      <w:pPr>
        <w:jc w:val="both"/>
        <w:rPr>
          <w:rFonts w:cs="Arial"/>
          <w:szCs w:val="24"/>
        </w:rPr>
      </w:pPr>
    </w:p>
    <w:p w:rsidR="00DA2B16" w:rsidRPr="00F76E59" w:rsidRDefault="00DA2B16" w:rsidP="005C387C">
      <w:pPr>
        <w:numPr>
          <w:ilvl w:val="0"/>
          <w:numId w:val="17"/>
        </w:numPr>
        <w:jc w:val="both"/>
        <w:rPr>
          <w:rFonts w:cs="Arial"/>
          <w:szCs w:val="24"/>
        </w:rPr>
      </w:pPr>
      <w:r w:rsidRPr="00F76E59">
        <w:rPr>
          <w:rFonts w:cs="Arial"/>
          <w:szCs w:val="24"/>
        </w:rPr>
        <w:t xml:space="preserve">Delegation by the Council of the role of scrutiny of treasury management strategy and policies to a specific named body. </w:t>
      </w:r>
    </w:p>
    <w:p w:rsidR="00014C29" w:rsidRDefault="00014C29" w:rsidP="00DA2B16">
      <w:pPr>
        <w:jc w:val="both"/>
        <w:rPr>
          <w:rFonts w:cs="Arial"/>
          <w:b/>
          <w:iCs/>
          <w:sz w:val="28"/>
          <w:szCs w:val="28"/>
        </w:rPr>
      </w:pPr>
    </w:p>
    <w:p w:rsidR="000450CA" w:rsidRDefault="000450CA" w:rsidP="00DA2B16">
      <w:pPr>
        <w:jc w:val="both"/>
        <w:rPr>
          <w:rFonts w:cs="Arial"/>
          <w:b/>
          <w:iCs/>
          <w:sz w:val="28"/>
          <w:szCs w:val="28"/>
        </w:rPr>
      </w:pPr>
    </w:p>
    <w:p w:rsidR="006D5DA7" w:rsidRDefault="006D5DA7" w:rsidP="00DA2B16">
      <w:pPr>
        <w:jc w:val="both"/>
        <w:rPr>
          <w:rFonts w:cs="Arial"/>
          <w:b/>
          <w:iCs/>
          <w:sz w:val="28"/>
          <w:szCs w:val="28"/>
        </w:rPr>
      </w:pPr>
    </w:p>
    <w:p w:rsidR="006D5DA7" w:rsidRDefault="006D5DA7" w:rsidP="00DA2B16">
      <w:pPr>
        <w:jc w:val="both"/>
        <w:rPr>
          <w:rFonts w:cs="Arial"/>
          <w:b/>
          <w:iCs/>
          <w:sz w:val="28"/>
          <w:szCs w:val="28"/>
        </w:rPr>
      </w:pPr>
    </w:p>
    <w:p w:rsidR="000450CA" w:rsidRDefault="000450CA" w:rsidP="00DA2B16">
      <w:pPr>
        <w:jc w:val="both"/>
        <w:rPr>
          <w:rFonts w:cs="Arial"/>
          <w:b/>
          <w:iCs/>
          <w:sz w:val="28"/>
          <w:szCs w:val="28"/>
        </w:rPr>
      </w:pPr>
    </w:p>
    <w:p w:rsidR="000450CA" w:rsidRDefault="000450CA" w:rsidP="00DA2B16">
      <w:pPr>
        <w:jc w:val="both"/>
        <w:rPr>
          <w:rFonts w:cs="Arial"/>
          <w:b/>
          <w:iCs/>
          <w:sz w:val="28"/>
          <w:szCs w:val="28"/>
        </w:rPr>
      </w:pPr>
    </w:p>
    <w:p w:rsidR="00014C29" w:rsidRDefault="00014C29" w:rsidP="00DA2B16">
      <w:pPr>
        <w:jc w:val="both"/>
        <w:rPr>
          <w:rFonts w:cs="Arial"/>
          <w:b/>
          <w:iCs/>
          <w:sz w:val="28"/>
          <w:szCs w:val="28"/>
        </w:rPr>
      </w:pPr>
    </w:p>
    <w:p w:rsidR="00DA2B16" w:rsidRPr="00F76E59" w:rsidRDefault="00E32A52" w:rsidP="009D5A1A">
      <w:pPr>
        <w:numPr>
          <w:ilvl w:val="1"/>
          <w:numId w:val="45"/>
        </w:numPr>
        <w:jc w:val="both"/>
        <w:rPr>
          <w:rFonts w:cs="Arial"/>
          <w:b/>
          <w:iCs/>
          <w:sz w:val="32"/>
          <w:szCs w:val="28"/>
        </w:rPr>
      </w:pPr>
      <w:r>
        <w:rPr>
          <w:rFonts w:cs="Arial"/>
          <w:b/>
          <w:iCs/>
          <w:sz w:val="28"/>
          <w:szCs w:val="28"/>
        </w:rPr>
        <w:lastRenderedPageBreak/>
        <w:t xml:space="preserve"> </w:t>
      </w:r>
      <w:r w:rsidR="00DA2B16" w:rsidRPr="00F76E59">
        <w:rPr>
          <w:rFonts w:cs="Arial"/>
          <w:b/>
          <w:iCs/>
          <w:sz w:val="28"/>
          <w:szCs w:val="28"/>
        </w:rPr>
        <w:t xml:space="preserve">Reporting </w:t>
      </w:r>
      <w:r w:rsidR="00146434">
        <w:rPr>
          <w:rFonts w:cs="Arial"/>
          <w:b/>
          <w:iCs/>
          <w:sz w:val="28"/>
          <w:szCs w:val="28"/>
        </w:rPr>
        <w:t>r</w:t>
      </w:r>
      <w:r w:rsidR="00DA2B16" w:rsidRPr="00F76E59">
        <w:rPr>
          <w:rFonts w:cs="Arial"/>
          <w:b/>
          <w:iCs/>
          <w:sz w:val="28"/>
          <w:szCs w:val="28"/>
        </w:rPr>
        <w:t>equirements</w:t>
      </w:r>
      <w:r w:rsidR="00DA2B16" w:rsidRPr="00F76E59">
        <w:rPr>
          <w:rFonts w:cs="Arial"/>
          <w:b/>
          <w:iCs/>
          <w:sz w:val="32"/>
          <w:szCs w:val="28"/>
        </w:rPr>
        <w:t xml:space="preserve"> </w:t>
      </w:r>
    </w:p>
    <w:p w:rsidR="00DA2B16" w:rsidRPr="00F76E59" w:rsidRDefault="00DA2B16" w:rsidP="00DA2B16">
      <w:pPr>
        <w:jc w:val="both"/>
        <w:rPr>
          <w:rFonts w:cs="Arial"/>
          <w:b/>
          <w:sz w:val="22"/>
          <w:szCs w:val="22"/>
        </w:rPr>
      </w:pPr>
    </w:p>
    <w:p w:rsidR="00DA2B16" w:rsidRDefault="00DA2B16" w:rsidP="009D5A1A">
      <w:pPr>
        <w:numPr>
          <w:ilvl w:val="0"/>
          <w:numId w:val="46"/>
        </w:numPr>
        <w:ind w:left="567" w:hanging="567"/>
        <w:jc w:val="both"/>
        <w:rPr>
          <w:rFonts w:cs="Arial"/>
          <w:iCs/>
          <w:noProof/>
          <w:szCs w:val="24"/>
        </w:rPr>
      </w:pPr>
      <w:r w:rsidRPr="00F76E59">
        <w:rPr>
          <w:rFonts w:cs="Arial"/>
          <w:iCs/>
          <w:noProof/>
          <w:szCs w:val="24"/>
        </w:rPr>
        <w:t xml:space="preserve">As introduced above, the Council and/or Cabinet are required to receive and approve, as a minimum, three main reports each year, which incorporate a variety of policies, estimates and actuals.  </w:t>
      </w:r>
    </w:p>
    <w:p w:rsidR="009D5A1A" w:rsidRPr="00F76E59" w:rsidRDefault="009D5A1A" w:rsidP="009D5A1A">
      <w:pPr>
        <w:ind w:left="720"/>
        <w:jc w:val="both"/>
        <w:rPr>
          <w:rFonts w:cs="Arial"/>
          <w:iCs/>
          <w:noProof/>
          <w:szCs w:val="24"/>
        </w:rPr>
      </w:pPr>
    </w:p>
    <w:p w:rsidR="00DA2B16" w:rsidRPr="00F76E59" w:rsidRDefault="00DA2B16" w:rsidP="00014C29">
      <w:pPr>
        <w:ind w:left="561"/>
        <w:jc w:val="both"/>
        <w:rPr>
          <w:rFonts w:cs="Arial"/>
          <w:iCs/>
          <w:noProof/>
          <w:szCs w:val="24"/>
        </w:rPr>
      </w:pPr>
      <w:r w:rsidRPr="00F76E59">
        <w:rPr>
          <w:rFonts w:cs="Arial"/>
          <w:b/>
          <w:iCs/>
          <w:noProof/>
          <w:szCs w:val="22"/>
        </w:rPr>
        <w:t xml:space="preserve">Treasury Management Strategy Statement report </w:t>
      </w:r>
      <w:r w:rsidRPr="00F76E59">
        <w:rPr>
          <w:rFonts w:cs="Arial"/>
          <w:iCs/>
          <w:noProof/>
          <w:szCs w:val="24"/>
        </w:rPr>
        <w:t>(this report)</w:t>
      </w:r>
      <w:r w:rsidRPr="00F76E59">
        <w:rPr>
          <w:rFonts w:cs="Arial"/>
          <w:iCs/>
          <w:noProof/>
          <w:sz w:val="22"/>
          <w:szCs w:val="22"/>
        </w:rPr>
        <w:t xml:space="preserve"> </w:t>
      </w:r>
      <w:r w:rsidRPr="00F76E59">
        <w:rPr>
          <w:rFonts w:cs="Arial"/>
          <w:iCs/>
          <w:noProof/>
          <w:szCs w:val="24"/>
        </w:rPr>
        <w:t>- The first, and most important report is presented to the Council in February and covers:</w:t>
      </w:r>
    </w:p>
    <w:p w:rsidR="00DA2B16" w:rsidRPr="00F76E59" w:rsidRDefault="00DA2B16" w:rsidP="009D5A1A">
      <w:pPr>
        <w:numPr>
          <w:ilvl w:val="0"/>
          <w:numId w:val="47"/>
        </w:numPr>
        <w:spacing w:before="45" w:after="45"/>
        <w:jc w:val="both"/>
        <w:rPr>
          <w:rFonts w:cs="Arial"/>
          <w:noProof/>
          <w:szCs w:val="24"/>
        </w:rPr>
      </w:pPr>
      <w:r w:rsidRPr="00F76E59">
        <w:rPr>
          <w:rFonts w:cs="Arial"/>
          <w:noProof/>
          <w:szCs w:val="24"/>
        </w:rPr>
        <w:t>the capital programme (including Prudential Indicators);</w:t>
      </w:r>
    </w:p>
    <w:p w:rsidR="00DA2B16" w:rsidRPr="00F76E59" w:rsidRDefault="00DA2B16" w:rsidP="009D5A1A">
      <w:pPr>
        <w:numPr>
          <w:ilvl w:val="0"/>
          <w:numId w:val="47"/>
        </w:numPr>
        <w:spacing w:before="45" w:after="45"/>
        <w:jc w:val="both"/>
        <w:rPr>
          <w:rFonts w:cs="Arial"/>
          <w:noProof/>
          <w:szCs w:val="24"/>
        </w:rPr>
      </w:pPr>
      <w:r w:rsidRPr="00F76E59">
        <w:rPr>
          <w:rFonts w:cs="Arial"/>
          <w:noProof/>
          <w:szCs w:val="24"/>
        </w:rPr>
        <w:t>a</w:t>
      </w:r>
      <w:r w:rsidR="006676C8">
        <w:rPr>
          <w:rFonts w:cs="Arial"/>
          <w:noProof/>
          <w:szCs w:val="24"/>
        </w:rPr>
        <w:t>n MRP P</w:t>
      </w:r>
      <w:r w:rsidRPr="00F76E59">
        <w:rPr>
          <w:rFonts w:cs="Arial"/>
          <w:noProof/>
          <w:szCs w:val="24"/>
        </w:rPr>
        <w:t>olicy (how residual capital expenditure is charged to revenue over time);</w:t>
      </w:r>
    </w:p>
    <w:p w:rsidR="00DA2B16" w:rsidRPr="00F76E59" w:rsidRDefault="00DA2B16" w:rsidP="009D5A1A">
      <w:pPr>
        <w:numPr>
          <w:ilvl w:val="0"/>
          <w:numId w:val="47"/>
        </w:numPr>
        <w:spacing w:before="45" w:after="45"/>
        <w:jc w:val="both"/>
        <w:rPr>
          <w:rFonts w:cs="Arial"/>
          <w:noProof/>
          <w:szCs w:val="24"/>
        </w:rPr>
      </w:pPr>
      <w:r w:rsidRPr="00F76E59">
        <w:rPr>
          <w:rFonts w:cs="Arial"/>
          <w:noProof/>
          <w:szCs w:val="24"/>
        </w:rPr>
        <w:t xml:space="preserve">the Treasury Management Strategy (how the investments and borrowings are to be organised) including treasury indicators; and </w:t>
      </w:r>
    </w:p>
    <w:p w:rsidR="00DA2B16" w:rsidRPr="00F76E59" w:rsidRDefault="00DA2B16" w:rsidP="009D5A1A">
      <w:pPr>
        <w:numPr>
          <w:ilvl w:val="0"/>
          <w:numId w:val="47"/>
        </w:numPr>
        <w:spacing w:before="45" w:after="45"/>
        <w:jc w:val="both"/>
        <w:rPr>
          <w:rFonts w:cs="Arial"/>
          <w:noProof/>
          <w:szCs w:val="24"/>
        </w:rPr>
      </w:pPr>
      <w:r w:rsidRPr="00F76E59">
        <w:rPr>
          <w:rFonts w:cs="Arial"/>
          <w:noProof/>
          <w:szCs w:val="24"/>
        </w:rPr>
        <w:t xml:space="preserve">an </w:t>
      </w:r>
      <w:r w:rsidR="006676C8">
        <w:rPr>
          <w:rFonts w:cs="Arial"/>
          <w:noProof/>
          <w:szCs w:val="24"/>
        </w:rPr>
        <w:t>I</w:t>
      </w:r>
      <w:r w:rsidRPr="00F76E59">
        <w:rPr>
          <w:rFonts w:cs="Arial"/>
          <w:noProof/>
          <w:szCs w:val="24"/>
        </w:rPr>
        <w:t xml:space="preserve">nvestment </w:t>
      </w:r>
      <w:r w:rsidR="006D5DA7">
        <w:rPr>
          <w:rFonts w:cs="Arial"/>
          <w:noProof/>
          <w:szCs w:val="24"/>
        </w:rPr>
        <w:t>Strategy</w:t>
      </w:r>
      <w:r w:rsidRPr="00F76E59">
        <w:rPr>
          <w:rFonts w:cs="Arial"/>
          <w:noProof/>
          <w:szCs w:val="24"/>
        </w:rPr>
        <w:t xml:space="preserve"> (the parameters on how investments are to be managed).</w:t>
      </w:r>
    </w:p>
    <w:p w:rsidR="00DA2B16" w:rsidRPr="00F76E59" w:rsidRDefault="00DA2B16" w:rsidP="00DA2B16">
      <w:pPr>
        <w:ind w:left="935" w:hanging="374"/>
        <w:jc w:val="both"/>
        <w:rPr>
          <w:rFonts w:cs="Arial"/>
          <w:iCs/>
          <w:noProof/>
          <w:sz w:val="22"/>
          <w:szCs w:val="22"/>
        </w:rPr>
      </w:pPr>
    </w:p>
    <w:p w:rsidR="00DA2B16" w:rsidRPr="00F76E59" w:rsidRDefault="00DA2B16" w:rsidP="00014C29">
      <w:pPr>
        <w:ind w:left="561"/>
        <w:jc w:val="both"/>
        <w:rPr>
          <w:rFonts w:cs="Arial"/>
          <w:iCs/>
          <w:noProof/>
          <w:szCs w:val="24"/>
        </w:rPr>
      </w:pPr>
      <w:r w:rsidRPr="00F76E59">
        <w:rPr>
          <w:rFonts w:cs="Arial"/>
          <w:b/>
          <w:iCs/>
          <w:noProof/>
          <w:szCs w:val="24"/>
        </w:rPr>
        <w:t>Mid-year Review report</w:t>
      </w:r>
      <w:r w:rsidRPr="00F76E59">
        <w:rPr>
          <w:rFonts w:cs="Arial"/>
          <w:b/>
          <w:iCs/>
          <w:noProof/>
          <w:sz w:val="22"/>
          <w:szCs w:val="22"/>
        </w:rPr>
        <w:t xml:space="preserve"> </w:t>
      </w:r>
      <w:r w:rsidRPr="00F76E59">
        <w:rPr>
          <w:rFonts w:cs="Arial"/>
          <w:iCs/>
          <w:noProof/>
          <w:sz w:val="22"/>
          <w:szCs w:val="22"/>
        </w:rPr>
        <w:t xml:space="preserve">– </w:t>
      </w:r>
      <w:r w:rsidRPr="00F76E59">
        <w:rPr>
          <w:rFonts w:cs="Arial"/>
          <w:iCs/>
          <w:noProof/>
          <w:szCs w:val="24"/>
        </w:rPr>
        <w:t>This is presented to Cabinet in the autumn and updates Members on the progress of the capital position, reporting on  Prudential Indicators</w:t>
      </w:r>
      <w:r w:rsidR="0086348F" w:rsidRPr="00F76E59">
        <w:rPr>
          <w:rFonts w:cs="Arial"/>
          <w:iCs/>
          <w:noProof/>
          <w:szCs w:val="24"/>
        </w:rPr>
        <w:t xml:space="preserve"> and recommending amendments when necessary</w:t>
      </w:r>
      <w:r w:rsidRPr="00F76E59">
        <w:rPr>
          <w:rFonts w:cs="Arial"/>
          <w:iCs/>
          <w:noProof/>
          <w:szCs w:val="24"/>
        </w:rPr>
        <w:t xml:space="preserve"> and identifying whether the treasury strategy is meeting the objectives or whether any policies require revision. </w:t>
      </w:r>
    </w:p>
    <w:p w:rsidR="00DA2B16" w:rsidRPr="00F76E59" w:rsidRDefault="00DA2B16" w:rsidP="00DA2B16">
      <w:pPr>
        <w:jc w:val="both"/>
        <w:rPr>
          <w:rFonts w:cs="Arial"/>
          <w:iCs/>
          <w:noProof/>
          <w:szCs w:val="24"/>
        </w:rPr>
      </w:pPr>
    </w:p>
    <w:p w:rsidR="00DA2B16" w:rsidRPr="00F76E59" w:rsidRDefault="00DA2B16" w:rsidP="00014C29">
      <w:pPr>
        <w:ind w:left="561"/>
        <w:jc w:val="both"/>
        <w:rPr>
          <w:rFonts w:cs="Arial"/>
          <w:iCs/>
          <w:noProof/>
          <w:szCs w:val="24"/>
        </w:rPr>
      </w:pPr>
      <w:r w:rsidRPr="00F76E59">
        <w:rPr>
          <w:rFonts w:cs="Arial"/>
          <w:b/>
          <w:iCs/>
          <w:noProof/>
          <w:szCs w:val="24"/>
        </w:rPr>
        <w:t>Treasury Management Outturn report</w:t>
      </w:r>
      <w:r w:rsidRPr="00F76E59">
        <w:rPr>
          <w:rFonts w:cs="Arial"/>
          <w:iCs/>
          <w:noProof/>
          <w:sz w:val="22"/>
          <w:szCs w:val="22"/>
        </w:rPr>
        <w:t xml:space="preserve"> </w:t>
      </w:r>
      <w:r w:rsidRPr="00F76E59">
        <w:rPr>
          <w:rFonts w:cs="Arial"/>
          <w:iCs/>
          <w:noProof/>
          <w:szCs w:val="24"/>
        </w:rPr>
        <w:t>– This is presented to Cabinet in June/July and provides details of a selection of actual prudential and treasury indicators and actual treasury operations compared to the estimates within the Strategy.</w:t>
      </w:r>
    </w:p>
    <w:p w:rsidR="00DA2B16" w:rsidRPr="00F76E59" w:rsidRDefault="00DA2B16" w:rsidP="00DA2B16">
      <w:pPr>
        <w:jc w:val="both"/>
        <w:rPr>
          <w:rFonts w:cs="Arial"/>
          <w:iCs/>
          <w:noProof/>
          <w:sz w:val="22"/>
          <w:szCs w:val="22"/>
        </w:rPr>
      </w:pPr>
    </w:p>
    <w:p w:rsidR="00DA2B16" w:rsidRDefault="00DA2B16" w:rsidP="00014C29">
      <w:pPr>
        <w:ind w:left="561"/>
        <w:jc w:val="both"/>
        <w:rPr>
          <w:rFonts w:cs="Arial"/>
          <w:iCs/>
          <w:noProof/>
          <w:szCs w:val="24"/>
        </w:rPr>
      </w:pPr>
      <w:r w:rsidRPr="006676C8">
        <w:rPr>
          <w:rFonts w:cs="Arial"/>
          <w:b/>
          <w:iCs/>
          <w:noProof/>
          <w:szCs w:val="24"/>
        </w:rPr>
        <w:t>Scrutiny</w:t>
      </w:r>
      <w:r w:rsidRPr="006676C8">
        <w:rPr>
          <w:rFonts w:cs="Arial"/>
          <w:b/>
          <w:iCs/>
          <w:noProof/>
          <w:sz w:val="22"/>
          <w:szCs w:val="22"/>
        </w:rPr>
        <w:t xml:space="preserve"> - </w:t>
      </w:r>
      <w:r w:rsidRPr="006676C8">
        <w:rPr>
          <w:rFonts w:cs="Arial"/>
          <w:iCs/>
          <w:noProof/>
          <w:szCs w:val="24"/>
        </w:rPr>
        <w:t>The above reports are required to be adequately scrutinised</w:t>
      </w:r>
      <w:r w:rsidR="006676C8" w:rsidRPr="006676C8">
        <w:rPr>
          <w:rFonts w:cs="Arial"/>
          <w:iCs/>
          <w:noProof/>
          <w:szCs w:val="24"/>
        </w:rPr>
        <w:t>, normally</w:t>
      </w:r>
      <w:r w:rsidR="0086348F" w:rsidRPr="006676C8">
        <w:rPr>
          <w:rFonts w:cs="Arial"/>
          <w:iCs/>
          <w:noProof/>
          <w:szCs w:val="24"/>
        </w:rPr>
        <w:t xml:space="preserve"> before being recommended to Cabinet / Council</w:t>
      </w:r>
      <w:r w:rsidR="006676C8">
        <w:rPr>
          <w:rFonts w:cs="Arial"/>
          <w:iCs/>
          <w:noProof/>
          <w:szCs w:val="24"/>
        </w:rPr>
        <w:t>,</w:t>
      </w:r>
      <w:r w:rsidRPr="00F76E59">
        <w:rPr>
          <w:rFonts w:cs="Arial"/>
          <w:iCs/>
          <w:noProof/>
          <w:szCs w:val="24"/>
        </w:rPr>
        <w:t xml:space="preserve"> with the role being undertaken by the Governance, Audit, Risk Management and Standards Committee (GARMSC).</w:t>
      </w:r>
      <w:r w:rsidR="00FA2F67">
        <w:rPr>
          <w:rFonts w:cs="Arial"/>
          <w:iCs/>
          <w:noProof/>
          <w:szCs w:val="24"/>
        </w:rPr>
        <w:t xml:space="preserve"> GARMSC </w:t>
      </w:r>
    </w:p>
    <w:p w:rsidR="005A501F" w:rsidRDefault="005A501F" w:rsidP="00014C29">
      <w:pPr>
        <w:ind w:left="561"/>
        <w:jc w:val="both"/>
        <w:rPr>
          <w:rFonts w:cs="Arial"/>
          <w:iCs/>
          <w:noProof/>
          <w:szCs w:val="24"/>
        </w:rPr>
      </w:pPr>
    </w:p>
    <w:p w:rsidR="005A501F" w:rsidRPr="00CF6FAC" w:rsidRDefault="005A501F" w:rsidP="00014C29">
      <w:pPr>
        <w:ind w:left="561"/>
        <w:jc w:val="both"/>
        <w:rPr>
          <w:rFonts w:cs="Arial"/>
          <w:b/>
          <w:iCs/>
          <w:noProof/>
          <w:color w:val="000000" w:themeColor="text1"/>
          <w:szCs w:val="24"/>
        </w:rPr>
      </w:pPr>
      <w:r w:rsidRPr="00CF6FAC">
        <w:rPr>
          <w:rFonts w:cs="Arial"/>
          <w:b/>
          <w:iCs/>
          <w:noProof/>
          <w:color w:val="000000" w:themeColor="text1"/>
          <w:szCs w:val="24"/>
        </w:rPr>
        <w:t xml:space="preserve">Capital Strategy </w:t>
      </w:r>
    </w:p>
    <w:p w:rsidR="008758E4" w:rsidRDefault="008758E4" w:rsidP="009E2518">
      <w:pPr>
        <w:pStyle w:val="BodyText"/>
        <w:ind w:left="567"/>
        <w:jc w:val="both"/>
        <w:rPr>
          <w:sz w:val="22"/>
          <w:szCs w:val="22"/>
        </w:rPr>
      </w:pPr>
      <w:r>
        <w:rPr>
          <w:sz w:val="22"/>
          <w:szCs w:val="22"/>
        </w:rPr>
        <w:t xml:space="preserve">In December 2017, CIPFA issued revised Prudential and Treasury Management Codes.  As from 2019-20, all local authorities will be required to prepare an additional report, a Capital Strategy report, which </w:t>
      </w:r>
      <w:r w:rsidRPr="00BF0802">
        <w:rPr>
          <w:sz w:val="22"/>
          <w:szCs w:val="22"/>
        </w:rPr>
        <w:t xml:space="preserve">is intended to </w:t>
      </w:r>
      <w:r>
        <w:rPr>
          <w:sz w:val="22"/>
          <w:szCs w:val="22"/>
        </w:rPr>
        <w:t>provide the following: -</w:t>
      </w:r>
    </w:p>
    <w:p w:rsidR="008758E4" w:rsidRDefault="008758E4" w:rsidP="009E2518">
      <w:pPr>
        <w:pStyle w:val="BodyText"/>
        <w:numPr>
          <w:ilvl w:val="0"/>
          <w:numId w:val="49"/>
        </w:numPr>
        <w:ind w:firstLine="0"/>
        <w:jc w:val="both"/>
        <w:rPr>
          <w:sz w:val="22"/>
          <w:szCs w:val="22"/>
        </w:rPr>
      </w:pPr>
      <w:r w:rsidRPr="00BF0802">
        <w:rPr>
          <w:sz w:val="22"/>
          <w:szCs w:val="22"/>
        </w:rPr>
        <w:t>a high-level overview of how capital expenditure, capital financing and treasury management activity contribute to the provision of services</w:t>
      </w:r>
    </w:p>
    <w:p w:rsidR="008758E4" w:rsidRDefault="008758E4" w:rsidP="009E2518">
      <w:pPr>
        <w:pStyle w:val="BodyText"/>
        <w:numPr>
          <w:ilvl w:val="0"/>
          <w:numId w:val="49"/>
        </w:numPr>
        <w:ind w:firstLine="0"/>
        <w:jc w:val="both"/>
        <w:rPr>
          <w:sz w:val="22"/>
          <w:szCs w:val="22"/>
        </w:rPr>
      </w:pPr>
      <w:r w:rsidRPr="00BF0802">
        <w:rPr>
          <w:sz w:val="22"/>
          <w:szCs w:val="22"/>
        </w:rPr>
        <w:t xml:space="preserve">an overview of how </w:t>
      </w:r>
      <w:r>
        <w:rPr>
          <w:sz w:val="22"/>
          <w:szCs w:val="22"/>
        </w:rPr>
        <w:t xml:space="preserve">the </w:t>
      </w:r>
      <w:r w:rsidRPr="00BF0802">
        <w:rPr>
          <w:sz w:val="22"/>
          <w:szCs w:val="22"/>
        </w:rPr>
        <w:t>associated risk is managed</w:t>
      </w:r>
    </w:p>
    <w:p w:rsidR="008758E4" w:rsidRDefault="008758E4" w:rsidP="009E2518">
      <w:pPr>
        <w:pStyle w:val="BodyText"/>
        <w:numPr>
          <w:ilvl w:val="0"/>
          <w:numId w:val="49"/>
        </w:numPr>
        <w:ind w:firstLine="0"/>
        <w:jc w:val="both"/>
        <w:rPr>
          <w:sz w:val="22"/>
          <w:szCs w:val="22"/>
        </w:rPr>
      </w:pPr>
      <w:r w:rsidRPr="00BF0802">
        <w:rPr>
          <w:sz w:val="22"/>
          <w:szCs w:val="22"/>
        </w:rPr>
        <w:t>the implications for future financial sustainability</w:t>
      </w:r>
      <w:r w:rsidR="009E2518">
        <w:rPr>
          <w:sz w:val="22"/>
          <w:szCs w:val="22"/>
        </w:rPr>
        <w:t>.</w:t>
      </w:r>
    </w:p>
    <w:p w:rsidR="009E2518" w:rsidRDefault="009E2518" w:rsidP="009E2518">
      <w:pPr>
        <w:pStyle w:val="BodyText"/>
        <w:ind w:left="720"/>
        <w:jc w:val="both"/>
        <w:rPr>
          <w:sz w:val="22"/>
          <w:szCs w:val="22"/>
        </w:rPr>
      </w:pPr>
    </w:p>
    <w:p w:rsidR="008758E4" w:rsidRDefault="008758E4" w:rsidP="009E2518">
      <w:pPr>
        <w:pStyle w:val="BodyText"/>
        <w:ind w:left="567"/>
        <w:jc w:val="both"/>
        <w:rPr>
          <w:sz w:val="22"/>
          <w:szCs w:val="22"/>
        </w:rPr>
      </w:pPr>
      <w:r>
        <w:rPr>
          <w:sz w:val="22"/>
          <w:szCs w:val="22"/>
        </w:rPr>
        <w:t xml:space="preserve">The aim of this report is to ensure that all elected members on the full council fully understand </w:t>
      </w:r>
      <w:r w:rsidRPr="00BF0802">
        <w:rPr>
          <w:sz w:val="22"/>
          <w:szCs w:val="22"/>
        </w:rPr>
        <w:t xml:space="preserve">the overall strategy, governance procedures and risk appetite </w:t>
      </w:r>
      <w:r>
        <w:rPr>
          <w:sz w:val="22"/>
          <w:szCs w:val="22"/>
        </w:rPr>
        <w:t>entailed by this Strategy.</w:t>
      </w:r>
    </w:p>
    <w:p w:rsidR="008758E4" w:rsidRPr="00BF0802" w:rsidRDefault="008758E4" w:rsidP="009E2518">
      <w:pPr>
        <w:ind w:left="567" w:firstLine="567"/>
        <w:jc w:val="both"/>
        <w:rPr>
          <w:rFonts w:cs="Arial"/>
          <w:sz w:val="22"/>
          <w:szCs w:val="22"/>
        </w:rPr>
      </w:pPr>
      <w:r w:rsidRPr="00BF0802">
        <w:rPr>
          <w:rFonts w:cs="Arial"/>
          <w:sz w:val="22"/>
          <w:szCs w:val="22"/>
        </w:rPr>
        <w:t> </w:t>
      </w:r>
    </w:p>
    <w:p w:rsidR="008758E4" w:rsidRPr="00BF0802" w:rsidRDefault="008758E4" w:rsidP="009E2518">
      <w:pPr>
        <w:ind w:left="567"/>
        <w:jc w:val="both"/>
        <w:rPr>
          <w:rFonts w:cs="Arial"/>
          <w:sz w:val="22"/>
          <w:szCs w:val="22"/>
        </w:rPr>
      </w:pPr>
      <w:r w:rsidRPr="00BF0802">
        <w:rPr>
          <w:rFonts w:cs="Arial"/>
          <w:sz w:val="22"/>
          <w:szCs w:val="22"/>
        </w:rPr>
        <w:t xml:space="preserve">The Capital Strategy </w:t>
      </w:r>
      <w:r>
        <w:rPr>
          <w:rFonts w:cs="Arial"/>
          <w:sz w:val="22"/>
          <w:szCs w:val="22"/>
        </w:rPr>
        <w:t xml:space="preserve">will </w:t>
      </w:r>
      <w:r w:rsidRPr="00BF0802">
        <w:rPr>
          <w:rFonts w:cs="Arial"/>
          <w:sz w:val="22"/>
          <w:szCs w:val="22"/>
        </w:rPr>
        <w:t>include capital expenditure, investments and liabilities and treasury management</w:t>
      </w:r>
      <w:r>
        <w:rPr>
          <w:rFonts w:cs="Arial"/>
          <w:sz w:val="22"/>
          <w:szCs w:val="22"/>
        </w:rPr>
        <w:t xml:space="preserve"> in s</w:t>
      </w:r>
      <w:r w:rsidRPr="00BF0802">
        <w:rPr>
          <w:rFonts w:cs="Arial"/>
          <w:sz w:val="22"/>
          <w:szCs w:val="22"/>
        </w:rPr>
        <w:t>ufficient detail to allow all members to understand how stewardship, value for money, prudence, sustainability and affordability will be secured.</w:t>
      </w:r>
      <w:r>
        <w:rPr>
          <w:rFonts w:cs="Arial"/>
          <w:sz w:val="22"/>
          <w:szCs w:val="22"/>
        </w:rPr>
        <w:t xml:space="preserve"> </w:t>
      </w:r>
    </w:p>
    <w:p w:rsidR="005A501F" w:rsidRPr="00F76E59" w:rsidRDefault="005A501F" w:rsidP="00C00737">
      <w:pPr>
        <w:jc w:val="both"/>
        <w:rPr>
          <w:rFonts w:cs="Arial"/>
          <w:iCs/>
          <w:noProof/>
          <w:szCs w:val="24"/>
        </w:rPr>
      </w:pPr>
    </w:p>
    <w:p w:rsidR="00DA2B16" w:rsidRPr="00F76E59" w:rsidRDefault="00DA2B16" w:rsidP="00014C29">
      <w:pPr>
        <w:tabs>
          <w:tab w:val="left" w:pos="567"/>
        </w:tabs>
        <w:jc w:val="both"/>
        <w:rPr>
          <w:rFonts w:cs="Arial"/>
          <w:szCs w:val="24"/>
        </w:rPr>
      </w:pPr>
    </w:p>
    <w:p w:rsidR="00DA2B16" w:rsidRPr="00F76E59" w:rsidRDefault="00DA2B16" w:rsidP="00DA2B16">
      <w:pPr>
        <w:ind w:left="561" w:hanging="561"/>
        <w:jc w:val="both"/>
        <w:rPr>
          <w:rFonts w:cs="Arial"/>
          <w:iCs/>
          <w:szCs w:val="24"/>
        </w:rPr>
      </w:pPr>
      <w:r w:rsidRPr="00F76E59">
        <w:rPr>
          <w:rFonts w:cs="Arial"/>
          <w:iCs/>
          <w:szCs w:val="24"/>
        </w:rPr>
        <w:lastRenderedPageBreak/>
        <w:t xml:space="preserve">11. </w:t>
      </w:r>
      <w:r w:rsidRPr="00F76E59">
        <w:rPr>
          <w:rFonts w:cs="Arial"/>
          <w:iCs/>
          <w:szCs w:val="24"/>
        </w:rPr>
        <w:tab/>
        <w:t xml:space="preserve">The Council has delegated responsibility for the implementation and regular monitoring of its treasury management policies and practices to the Section 151 officer. </w:t>
      </w:r>
      <w:r w:rsidRPr="00F76E59">
        <w:rPr>
          <w:rFonts w:cs="Arial"/>
          <w:szCs w:val="24"/>
        </w:rPr>
        <w:t>The Section 151 Officer chairs the Treasury Management Group (TMG), which monitors the treasury management activity and market conditions</w:t>
      </w:r>
      <w:r w:rsidRPr="00F76E59">
        <w:rPr>
          <w:rFonts w:cs="Arial"/>
          <w:iCs/>
          <w:szCs w:val="24"/>
        </w:rPr>
        <w:t xml:space="preserve">. </w:t>
      </w:r>
    </w:p>
    <w:p w:rsidR="00DA2B16" w:rsidRPr="00F76E59" w:rsidRDefault="00DA2B16" w:rsidP="00DA2B16">
      <w:pPr>
        <w:ind w:left="561" w:hanging="561"/>
        <w:jc w:val="both"/>
        <w:rPr>
          <w:rFonts w:cs="Arial"/>
          <w:iCs/>
          <w:szCs w:val="24"/>
        </w:rPr>
      </w:pPr>
    </w:p>
    <w:p w:rsidR="00DA2B16" w:rsidRDefault="00DA2B16" w:rsidP="00DA2B16">
      <w:pPr>
        <w:ind w:left="561" w:hanging="561"/>
        <w:jc w:val="both"/>
        <w:rPr>
          <w:rFonts w:cs="Arial"/>
          <w:szCs w:val="24"/>
        </w:rPr>
      </w:pPr>
      <w:r w:rsidRPr="00F76E59">
        <w:rPr>
          <w:rFonts w:cs="Arial"/>
          <w:szCs w:val="24"/>
        </w:rPr>
        <w:t xml:space="preserve">12. </w:t>
      </w:r>
      <w:r w:rsidRPr="00F76E59">
        <w:rPr>
          <w:rFonts w:cs="Arial"/>
          <w:szCs w:val="24"/>
        </w:rPr>
        <w:tab/>
        <w:t xml:space="preserve">Further details of responsibilities are given in Appendix </w:t>
      </w:r>
      <w:r w:rsidR="006676C8">
        <w:rPr>
          <w:rFonts w:cs="Arial"/>
          <w:szCs w:val="24"/>
        </w:rPr>
        <w:t>B</w:t>
      </w:r>
      <w:r w:rsidRPr="00F76E59">
        <w:rPr>
          <w:rFonts w:cs="Arial"/>
          <w:szCs w:val="24"/>
        </w:rPr>
        <w:t>.</w:t>
      </w:r>
    </w:p>
    <w:p w:rsidR="00DA2B16" w:rsidRPr="00F76E59" w:rsidRDefault="00014C29" w:rsidP="00014C29">
      <w:pPr>
        <w:tabs>
          <w:tab w:val="left" w:pos="851"/>
        </w:tabs>
        <w:spacing w:before="270" w:after="180"/>
        <w:jc w:val="both"/>
        <w:rPr>
          <w:rFonts w:cs="Arial"/>
          <w:b/>
          <w:noProof/>
          <w:sz w:val="28"/>
          <w:szCs w:val="28"/>
        </w:rPr>
      </w:pPr>
      <w:bookmarkStart w:id="1" w:name="_Toc339459940"/>
      <w:r>
        <w:rPr>
          <w:rFonts w:cs="Arial"/>
          <w:b/>
          <w:noProof/>
          <w:sz w:val="28"/>
          <w:szCs w:val="28"/>
        </w:rPr>
        <w:t xml:space="preserve">1.4 </w:t>
      </w:r>
      <w:r w:rsidR="00DA2B16" w:rsidRPr="00F76E59">
        <w:rPr>
          <w:rFonts w:cs="Arial"/>
          <w:b/>
          <w:noProof/>
          <w:sz w:val="28"/>
          <w:szCs w:val="28"/>
        </w:rPr>
        <w:t>Training</w:t>
      </w:r>
      <w:bookmarkEnd w:id="1"/>
    </w:p>
    <w:p w:rsidR="008558A6" w:rsidRPr="00F76E59" w:rsidRDefault="00DA2B16" w:rsidP="00DA2B16">
      <w:pPr>
        <w:spacing w:before="45" w:after="45"/>
        <w:ind w:left="561" w:hanging="561"/>
        <w:jc w:val="both"/>
        <w:rPr>
          <w:rFonts w:cs="Arial"/>
          <w:noProof/>
          <w:szCs w:val="24"/>
        </w:rPr>
      </w:pPr>
      <w:r w:rsidRPr="00F76E59">
        <w:rPr>
          <w:rFonts w:cs="Arial"/>
          <w:noProof/>
          <w:szCs w:val="24"/>
        </w:rPr>
        <w:t>13.</w:t>
      </w:r>
      <w:r w:rsidRPr="00F76E59">
        <w:rPr>
          <w:rFonts w:cs="Arial"/>
          <w:noProof/>
          <w:szCs w:val="24"/>
        </w:rPr>
        <w:tab/>
        <w:t>The Treasury Management Code requires the responsible officer to ensure that M</w:t>
      </w:r>
      <w:r w:rsidRPr="00F76E59">
        <w:rPr>
          <w:rFonts w:cs="Arial"/>
          <w:szCs w:val="24"/>
        </w:rPr>
        <w:t>embers</w:t>
      </w:r>
      <w:r w:rsidRPr="00F76E59">
        <w:rPr>
          <w:rFonts w:cs="Arial"/>
          <w:noProof/>
          <w:szCs w:val="24"/>
        </w:rPr>
        <w:t xml:space="preserve"> with responsibility for treasury management receive adequate training in this area. This especially applies to Members responsible for scrutiny. </w:t>
      </w:r>
    </w:p>
    <w:p w:rsidR="00DA2B16" w:rsidRPr="00F76E59" w:rsidRDefault="00DA2B16" w:rsidP="00DA2B16">
      <w:pPr>
        <w:spacing w:before="45" w:after="45"/>
        <w:ind w:left="561" w:hanging="561"/>
        <w:jc w:val="both"/>
        <w:rPr>
          <w:rFonts w:cs="Arial"/>
          <w:noProof/>
          <w:szCs w:val="24"/>
        </w:rPr>
      </w:pPr>
    </w:p>
    <w:p w:rsidR="00DA2B16" w:rsidRDefault="00DA2B16" w:rsidP="00DA2B16">
      <w:pPr>
        <w:spacing w:before="45" w:after="45"/>
        <w:ind w:left="561" w:hanging="561"/>
        <w:jc w:val="both"/>
        <w:rPr>
          <w:rFonts w:cs="Arial"/>
          <w:noProof/>
          <w:szCs w:val="24"/>
        </w:rPr>
      </w:pPr>
      <w:r w:rsidRPr="00F76E59">
        <w:rPr>
          <w:rFonts w:cs="Arial"/>
          <w:noProof/>
          <w:szCs w:val="24"/>
        </w:rPr>
        <w:t>1</w:t>
      </w:r>
      <w:r w:rsidR="00B32254">
        <w:rPr>
          <w:rFonts w:cs="Arial"/>
          <w:noProof/>
          <w:szCs w:val="24"/>
        </w:rPr>
        <w:t>4</w:t>
      </w:r>
      <w:r w:rsidRPr="00F76E59">
        <w:rPr>
          <w:rFonts w:cs="Arial"/>
          <w:noProof/>
          <w:szCs w:val="24"/>
        </w:rPr>
        <w:t>.</w:t>
      </w:r>
      <w:r w:rsidRPr="00F76E59">
        <w:rPr>
          <w:rFonts w:cs="Arial"/>
          <w:noProof/>
          <w:szCs w:val="24"/>
        </w:rPr>
        <w:tab/>
        <w:t>The training needs of Treasury Management officers are periodically reviewed as part of the Learning and Development programme with appropriate training and support provided.</w:t>
      </w:r>
    </w:p>
    <w:p w:rsidR="00DA2B16" w:rsidRPr="00F76E59" w:rsidRDefault="004F148A" w:rsidP="004F148A">
      <w:pPr>
        <w:spacing w:before="270" w:after="180"/>
        <w:jc w:val="both"/>
        <w:rPr>
          <w:rFonts w:cs="Arial"/>
          <w:b/>
          <w:noProof/>
          <w:sz w:val="28"/>
          <w:szCs w:val="28"/>
        </w:rPr>
      </w:pPr>
      <w:bookmarkStart w:id="2" w:name="_Toc339459941"/>
      <w:r>
        <w:rPr>
          <w:rFonts w:cs="Arial"/>
          <w:b/>
          <w:sz w:val="28"/>
          <w:szCs w:val="28"/>
        </w:rPr>
        <w:t xml:space="preserve">1.5 </w:t>
      </w:r>
      <w:r w:rsidR="00DA2B16" w:rsidRPr="00F76E59">
        <w:rPr>
          <w:rFonts w:cs="Arial"/>
          <w:b/>
          <w:sz w:val="28"/>
          <w:szCs w:val="28"/>
        </w:rPr>
        <w:t>T</w:t>
      </w:r>
      <w:r w:rsidR="00DA2B16" w:rsidRPr="00F76E59">
        <w:rPr>
          <w:rFonts w:cs="Arial"/>
          <w:b/>
          <w:noProof/>
          <w:sz w:val="28"/>
          <w:szCs w:val="28"/>
        </w:rPr>
        <w:t>reasury Management Adviser</w:t>
      </w:r>
      <w:bookmarkEnd w:id="2"/>
    </w:p>
    <w:p w:rsidR="00DA2B16" w:rsidRPr="00F76E59" w:rsidRDefault="00DA2B16" w:rsidP="00DA2B16">
      <w:pPr>
        <w:ind w:left="561" w:hanging="561"/>
        <w:jc w:val="both"/>
        <w:rPr>
          <w:rFonts w:cs="Arial"/>
          <w:noProof/>
          <w:szCs w:val="24"/>
        </w:rPr>
      </w:pPr>
      <w:r w:rsidRPr="00F76E59">
        <w:rPr>
          <w:rFonts w:cs="Arial"/>
          <w:noProof/>
          <w:szCs w:val="24"/>
        </w:rPr>
        <w:t>1</w:t>
      </w:r>
      <w:r w:rsidR="00B32254">
        <w:rPr>
          <w:rFonts w:cs="Arial"/>
          <w:noProof/>
          <w:szCs w:val="24"/>
        </w:rPr>
        <w:t>5</w:t>
      </w:r>
      <w:r w:rsidRPr="00F76E59">
        <w:rPr>
          <w:rFonts w:cs="Arial"/>
          <w:noProof/>
          <w:szCs w:val="24"/>
        </w:rPr>
        <w:t>.</w:t>
      </w:r>
      <w:r w:rsidRPr="00F76E59">
        <w:rPr>
          <w:rFonts w:cs="Arial"/>
          <w:noProof/>
          <w:szCs w:val="24"/>
        </w:rPr>
        <w:tab/>
        <w:t>The Council has engaged</w:t>
      </w:r>
      <w:r w:rsidR="009D4D1F">
        <w:rPr>
          <w:rFonts w:cs="Arial"/>
          <w:noProof/>
          <w:szCs w:val="24"/>
        </w:rPr>
        <w:t xml:space="preserve"> Link Asset Services </w:t>
      </w:r>
      <w:r w:rsidR="004149DB">
        <w:rPr>
          <w:rFonts w:cs="Arial"/>
          <w:noProof/>
          <w:szCs w:val="24"/>
        </w:rPr>
        <w:t>(was</w:t>
      </w:r>
      <w:r w:rsidR="009D4D1F">
        <w:rPr>
          <w:rFonts w:cs="Arial"/>
          <w:noProof/>
          <w:szCs w:val="24"/>
        </w:rPr>
        <w:t xml:space="preserve"> </w:t>
      </w:r>
      <w:r w:rsidRPr="00F76E59">
        <w:rPr>
          <w:rFonts w:cs="Arial"/>
          <w:noProof/>
          <w:szCs w:val="24"/>
        </w:rPr>
        <w:t>Capita Asset Services</w:t>
      </w:r>
      <w:r w:rsidR="004149DB">
        <w:rPr>
          <w:rFonts w:cs="Arial"/>
          <w:noProof/>
          <w:szCs w:val="24"/>
        </w:rPr>
        <w:t>)</w:t>
      </w:r>
      <w:r w:rsidRPr="00F76E59">
        <w:rPr>
          <w:rFonts w:cs="Arial"/>
          <w:noProof/>
          <w:szCs w:val="24"/>
        </w:rPr>
        <w:t>, Tre</w:t>
      </w:r>
      <w:r w:rsidR="003B447E">
        <w:rPr>
          <w:rFonts w:cs="Arial"/>
          <w:noProof/>
          <w:szCs w:val="24"/>
        </w:rPr>
        <w:t>asury Solutions as its external</w:t>
      </w:r>
      <w:r w:rsidRPr="00F76E59">
        <w:rPr>
          <w:rFonts w:cs="Arial"/>
          <w:noProof/>
          <w:szCs w:val="24"/>
        </w:rPr>
        <w:t xml:space="preserve"> Treasury Management Adviser.</w:t>
      </w:r>
    </w:p>
    <w:p w:rsidR="00DA2B16" w:rsidRPr="00F76E59" w:rsidRDefault="00DA2B16" w:rsidP="00DA2B16">
      <w:pPr>
        <w:jc w:val="both"/>
        <w:rPr>
          <w:rFonts w:cs="Arial"/>
          <w:noProof/>
          <w:szCs w:val="24"/>
        </w:rPr>
      </w:pPr>
    </w:p>
    <w:p w:rsidR="00DA2B16" w:rsidRPr="00F76E59" w:rsidRDefault="00DA2B16" w:rsidP="00DA2B16">
      <w:pPr>
        <w:ind w:left="561" w:hanging="561"/>
        <w:jc w:val="both"/>
        <w:rPr>
          <w:rFonts w:cs="Arial"/>
          <w:noProof/>
          <w:szCs w:val="24"/>
        </w:rPr>
      </w:pPr>
      <w:r w:rsidRPr="00F76E59">
        <w:rPr>
          <w:rFonts w:cs="Arial"/>
          <w:noProof/>
          <w:szCs w:val="24"/>
        </w:rPr>
        <w:t>1</w:t>
      </w:r>
      <w:r w:rsidR="00B32254">
        <w:rPr>
          <w:rFonts w:cs="Arial"/>
          <w:noProof/>
          <w:szCs w:val="24"/>
        </w:rPr>
        <w:t>6</w:t>
      </w:r>
      <w:r w:rsidRPr="00F76E59">
        <w:rPr>
          <w:rFonts w:cs="Arial"/>
          <w:noProof/>
          <w:szCs w:val="24"/>
        </w:rPr>
        <w:t xml:space="preserve">. </w:t>
      </w:r>
      <w:r w:rsidRPr="00F76E59">
        <w:rPr>
          <w:rFonts w:cs="Arial"/>
          <w:noProof/>
          <w:szCs w:val="24"/>
        </w:rPr>
        <w:tab/>
        <w:t xml:space="preserve">However, the Council recognises that responsibility for treasury management decisions remains with itself at all times and will ensure that undue reliance is not placed upon external service providers. </w:t>
      </w:r>
    </w:p>
    <w:p w:rsidR="00DA2B16" w:rsidRPr="00F76E59" w:rsidRDefault="00DA2B16" w:rsidP="00DA2B16">
      <w:pPr>
        <w:ind w:left="561" w:hanging="561"/>
        <w:jc w:val="both"/>
        <w:rPr>
          <w:rFonts w:cs="Arial"/>
          <w:noProof/>
          <w:sz w:val="22"/>
          <w:szCs w:val="22"/>
        </w:rPr>
      </w:pPr>
    </w:p>
    <w:p w:rsidR="00DA2B16" w:rsidRDefault="00DA2B16" w:rsidP="00DA2B16">
      <w:pPr>
        <w:ind w:left="561" w:hanging="561"/>
        <w:jc w:val="both"/>
        <w:rPr>
          <w:rFonts w:cs="Arial"/>
          <w:noProof/>
          <w:szCs w:val="24"/>
        </w:rPr>
      </w:pPr>
      <w:r w:rsidRPr="00F76E59">
        <w:rPr>
          <w:rFonts w:cs="Arial"/>
          <w:noProof/>
          <w:szCs w:val="24"/>
        </w:rPr>
        <w:t>1</w:t>
      </w:r>
      <w:r w:rsidR="00B32254">
        <w:rPr>
          <w:rFonts w:cs="Arial"/>
          <w:noProof/>
          <w:szCs w:val="24"/>
        </w:rPr>
        <w:t>7</w:t>
      </w:r>
      <w:r w:rsidRPr="00F76E59">
        <w:rPr>
          <w:rFonts w:cs="Arial"/>
          <w:noProof/>
          <w:szCs w:val="24"/>
        </w:rPr>
        <w:t xml:space="preserve">. </w:t>
      </w:r>
      <w:r w:rsidRPr="00F76E59">
        <w:rPr>
          <w:rFonts w:cs="Arial"/>
          <w:noProof/>
          <w:szCs w:val="24"/>
        </w:rPr>
        <w:tab/>
        <w:t xml:space="preserve">It also recognises that </w:t>
      </w:r>
      <w:r w:rsidRPr="00F76E59">
        <w:rPr>
          <w:rFonts w:cs="Arial"/>
          <w:noProof/>
          <w:spacing w:val="-5"/>
          <w:szCs w:val="24"/>
        </w:rPr>
        <w:t>there is value in employing external providers of treasury management services in order to acquire access to specialist skills and resources. The Council will ensure that the terms of their appointment and the methods by which their value is assessed are properly agreed</w:t>
      </w:r>
      <w:r w:rsidRPr="00F76E59">
        <w:rPr>
          <w:rFonts w:cs="Arial"/>
          <w:noProof/>
          <w:szCs w:val="24"/>
        </w:rPr>
        <w:t xml:space="preserve"> and documented, and subjected to regular review.</w:t>
      </w:r>
    </w:p>
    <w:p w:rsidR="006C5AA5" w:rsidRDefault="006C5AA5" w:rsidP="00DA2B16">
      <w:pPr>
        <w:ind w:left="561" w:hanging="561"/>
        <w:jc w:val="both"/>
        <w:rPr>
          <w:rFonts w:cs="Arial"/>
          <w:b/>
          <w:sz w:val="28"/>
          <w:szCs w:val="28"/>
        </w:rPr>
      </w:pPr>
    </w:p>
    <w:p w:rsidR="00DA2B16" w:rsidRPr="00CB78B3" w:rsidRDefault="003B447E" w:rsidP="00DA2B16">
      <w:pPr>
        <w:ind w:left="561" w:hanging="561"/>
        <w:jc w:val="both"/>
        <w:rPr>
          <w:rFonts w:cs="Arial"/>
          <w:b/>
          <w:sz w:val="28"/>
          <w:szCs w:val="28"/>
        </w:rPr>
      </w:pPr>
      <w:r w:rsidRPr="00CB78B3">
        <w:rPr>
          <w:rFonts w:cs="Arial"/>
          <w:b/>
          <w:sz w:val="28"/>
          <w:szCs w:val="28"/>
        </w:rPr>
        <w:t xml:space="preserve">1.6 </w:t>
      </w:r>
      <w:r w:rsidR="00DA2B16" w:rsidRPr="00CB78B3">
        <w:rPr>
          <w:rFonts w:cs="Arial"/>
          <w:b/>
          <w:sz w:val="28"/>
          <w:szCs w:val="28"/>
        </w:rPr>
        <w:t>Treasury Management Strategy for 201</w:t>
      </w:r>
      <w:r w:rsidR="006A116B">
        <w:rPr>
          <w:rFonts w:cs="Arial"/>
          <w:b/>
          <w:sz w:val="28"/>
          <w:szCs w:val="28"/>
        </w:rPr>
        <w:t>8</w:t>
      </w:r>
      <w:r w:rsidR="00DA2B16" w:rsidRPr="00CB78B3">
        <w:rPr>
          <w:rFonts w:cs="Arial"/>
          <w:b/>
          <w:sz w:val="28"/>
          <w:szCs w:val="28"/>
        </w:rPr>
        <w:t>/</w:t>
      </w:r>
      <w:r w:rsidR="006A116B">
        <w:rPr>
          <w:rFonts w:cs="Arial"/>
          <w:b/>
          <w:sz w:val="28"/>
          <w:szCs w:val="28"/>
        </w:rPr>
        <w:t>19</w:t>
      </w:r>
    </w:p>
    <w:p w:rsidR="00DA2B16" w:rsidRPr="00CB78B3" w:rsidRDefault="00DA2B16" w:rsidP="00DA2B16">
      <w:pPr>
        <w:jc w:val="both"/>
        <w:rPr>
          <w:rFonts w:cs="Arial"/>
          <w:sz w:val="28"/>
          <w:szCs w:val="28"/>
        </w:rPr>
      </w:pPr>
    </w:p>
    <w:p w:rsidR="00DA2B16" w:rsidRPr="00CB78B3" w:rsidRDefault="00DA2B16" w:rsidP="00DA2B16">
      <w:pPr>
        <w:ind w:left="561" w:hanging="561"/>
        <w:jc w:val="both"/>
        <w:rPr>
          <w:rFonts w:cs="Arial"/>
          <w:szCs w:val="24"/>
        </w:rPr>
      </w:pPr>
      <w:r w:rsidRPr="00CB78B3">
        <w:rPr>
          <w:rFonts w:cs="Arial"/>
          <w:szCs w:val="24"/>
        </w:rPr>
        <w:t>1</w:t>
      </w:r>
      <w:r w:rsidR="00B32254">
        <w:rPr>
          <w:rFonts w:cs="Arial"/>
          <w:szCs w:val="24"/>
        </w:rPr>
        <w:t>8</w:t>
      </w:r>
      <w:r w:rsidRPr="00CB78B3">
        <w:rPr>
          <w:rFonts w:cs="Arial"/>
          <w:szCs w:val="24"/>
        </w:rPr>
        <w:t xml:space="preserve">. </w:t>
      </w:r>
      <w:r w:rsidRPr="00CB78B3">
        <w:rPr>
          <w:rFonts w:cs="Arial"/>
          <w:szCs w:val="24"/>
        </w:rPr>
        <w:tab/>
        <w:t>The Strategy covers:-</w:t>
      </w:r>
    </w:p>
    <w:p w:rsidR="00DA2B16" w:rsidRPr="00CB78B3" w:rsidRDefault="00DA2B16" w:rsidP="00DA2B16">
      <w:pPr>
        <w:jc w:val="both"/>
        <w:rPr>
          <w:rFonts w:cs="Arial"/>
          <w:szCs w:val="24"/>
        </w:rPr>
      </w:pPr>
    </w:p>
    <w:p w:rsidR="00DA2B16" w:rsidRPr="00CB78B3" w:rsidRDefault="00DA2B16" w:rsidP="00DA2B16">
      <w:pPr>
        <w:jc w:val="both"/>
        <w:rPr>
          <w:rFonts w:cs="Arial"/>
          <w:b/>
          <w:iCs/>
          <w:noProof/>
          <w:szCs w:val="24"/>
        </w:rPr>
      </w:pPr>
      <w:r w:rsidRPr="00CB78B3">
        <w:rPr>
          <w:rFonts w:cs="Arial"/>
          <w:b/>
          <w:iCs/>
          <w:noProof/>
          <w:szCs w:val="24"/>
        </w:rPr>
        <w:t>Capital Issues (</w:t>
      </w:r>
      <w:r w:rsidR="0077757D" w:rsidRPr="00CB78B3">
        <w:rPr>
          <w:rFonts w:cs="Arial"/>
          <w:b/>
          <w:iCs/>
          <w:noProof/>
          <w:szCs w:val="24"/>
        </w:rPr>
        <w:t>Section</w:t>
      </w:r>
      <w:r w:rsidRPr="00CB78B3">
        <w:rPr>
          <w:rFonts w:cs="Arial"/>
          <w:b/>
          <w:iCs/>
          <w:noProof/>
          <w:szCs w:val="24"/>
        </w:rPr>
        <w:t xml:space="preserve"> 2)</w:t>
      </w:r>
    </w:p>
    <w:p w:rsidR="00DA2B16" w:rsidRPr="00CB78B3" w:rsidRDefault="00DA2B16" w:rsidP="009D502F">
      <w:pPr>
        <w:numPr>
          <w:ilvl w:val="0"/>
          <w:numId w:val="36"/>
        </w:numPr>
        <w:spacing w:before="45" w:after="45"/>
        <w:ind w:left="570" w:hanging="285"/>
        <w:jc w:val="both"/>
        <w:rPr>
          <w:rFonts w:cs="Arial"/>
          <w:noProof/>
          <w:szCs w:val="24"/>
        </w:rPr>
      </w:pPr>
      <w:r w:rsidRPr="00CB78B3">
        <w:rPr>
          <w:rFonts w:cs="Arial"/>
          <w:noProof/>
          <w:szCs w:val="24"/>
        </w:rPr>
        <w:t xml:space="preserve">Capital programme and </w:t>
      </w:r>
      <w:r w:rsidR="00146434" w:rsidRPr="00CB78B3">
        <w:rPr>
          <w:rFonts w:cs="Arial"/>
          <w:noProof/>
          <w:szCs w:val="24"/>
        </w:rPr>
        <w:t>c</w:t>
      </w:r>
      <w:r w:rsidR="00F76E59" w:rsidRPr="00CB78B3">
        <w:rPr>
          <w:rFonts w:cs="Arial"/>
          <w:noProof/>
          <w:szCs w:val="24"/>
        </w:rPr>
        <w:t xml:space="preserve">apital </w:t>
      </w:r>
      <w:r w:rsidR="00146434" w:rsidRPr="00CB78B3">
        <w:rPr>
          <w:rFonts w:cs="Arial"/>
          <w:noProof/>
          <w:szCs w:val="24"/>
        </w:rPr>
        <w:t>p</w:t>
      </w:r>
      <w:r w:rsidR="00F76E59" w:rsidRPr="00CB78B3">
        <w:rPr>
          <w:rFonts w:cs="Arial"/>
          <w:noProof/>
          <w:szCs w:val="24"/>
        </w:rPr>
        <w:t xml:space="preserve">rudential </w:t>
      </w:r>
      <w:r w:rsidR="00146434" w:rsidRPr="00CB78B3">
        <w:rPr>
          <w:rFonts w:cs="Arial"/>
          <w:noProof/>
          <w:szCs w:val="24"/>
        </w:rPr>
        <w:t>i</w:t>
      </w:r>
      <w:r w:rsidR="00F76E59" w:rsidRPr="00CB78B3">
        <w:rPr>
          <w:rFonts w:cs="Arial"/>
          <w:noProof/>
          <w:szCs w:val="24"/>
        </w:rPr>
        <w:t>ndicators 201</w:t>
      </w:r>
      <w:r w:rsidR="006A116B">
        <w:rPr>
          <w:rFonts w:cs="Arial"/>
          <w:noProof/>
          <w:szCs w:val="24"/>
        </w:rPr>
        <w:t>8</w:t>
      </w:r>
      <w:r w:rsidR="00F76E59" w:rsidRPr="00CB78B3">
        <w:rPr>
          <w:rFonts w:cs="Arial"/>
          <w:noProof/>
          <w:szCs w:val="24"/>
        </w:rPr>
        <w:t>-1</w:t>
      </w:r>
      <w:r w:rsidR="006A116B">
        <w:rPr>
          <w:rFonts w:cs="Arial"/>
          <w:noProof/>
          <w:szCs w:val="24"/>
        </w:rPr>
        <w:t>9</w:t>
      </w:r>
      <w:r w:rsidR="006D5DA7">
        <w:rPr>
          <w:rFonts w:cs="Arial"/>
          <w:noProof/>
          <w:szCs w:val="24"/>
        </w:rPr>
        <w:t xml:space="preserve"> </w:t>
      </w:r>
      <w:r w:rsidR="00F76E59" w:rsidRPr="00CB78B3">
        <w:rPr>
          <w:rFonts w:cs="Arial"/>
          <w:noProof/>
          <w:szCs w:val="24"/>
        </w:rPr>
        <w:t>to 20</w:t>
      </w:r>
      <w:r w:rsidR="006A116B">
        <w:rPr>
          <w:rFonts w:cs="Arial"/>
          <w:noProof/>
          <w:szCs w:val="24"/>
        </w:rPr>
        <w:t>20</w:t>
      </w:r>
      <w:r w:rsidR="00F76E59" w:rsidRPr="00CB78B3">
        <w:rPr>
          <w:rFonts w:cs="Arial"/>
          <w:noProof/>
          <w:szCs w:val="24"/>
        </w:rPr>
        <w:t>-2</w:t>
      </w:r>
      <w:r w:rsidR="006A116B">
        <w:rPr>
          <w:rFonts w:cs="Arial"/>
          <w:noProof/>
          <w:szCs w:val="24"/>
        </w:rPr>
        <w:t>1</w:t>
      </w:r>
      <w:r w:rsidRPr="00CB78B3">
        <w:rPr>
          <w:rFonts w:cs="Arial"/>
          <w:noProof/>
          <w:szCs w:val="24"/>
        </w:rPr>
        <w:t xml:space="preserve"> (</w:t>
      </w:r>
      <w:r w:rsidR="0077757D" w:rsidRPr="00CB78B3">
        <w:rPr>
          <w:rFonts w:cs="Arial"/>
          <w:noProof/>
          <w:szCs w:val="24"/>
        </w:rPr>
        <w:t>Sub-section</w:t>
      </w:r>
      <w:r w:rsidRPr="00CB78B3">
        <w:rPr>
          <w:rFonts w:cs="Arial"/>
          <w:noProof/>
          <w:szCs w:val="24"/>
        </w:rPr>
        <w:t xml:space="preserve"> 2.1);</w:t>
      </w:r>
    </w:p>
    <w:p w:rsidR="00DA2B16" w:rsidRPr="00CB78B3" w:rsidRDefault="00DA2B16" w:rsidP="009D502F">
      <w:pPr>
        <w:numPr>
          <w:ilvl w:val="0"/>
          <w:numId w:val="36"/>
        </w:numPr>
        <w:spacing w:before="45" w:after="45"/>
        <w:ind w:left="570" w:hanging="285"/>
        <w:jc w:val="both"/>
        <w:rPr>
          <w:rFonts w:cs="Arial"/>
          <w:noProof/>
          <w:szCs w:val="24"/>
        </w:rPr>
      </w:pPr>
      <w:r w:rsidRPr="00CB78B3">
        <w:rPr>
          <w:rFonts w:cs="Arial"/>
          <w:noProof/>
          <w:szCs w:val="24"/>
        </w:rPr>
        <w:t>Capital Financing Requirement (</w:t>
      </w:r>
      <w:r w:rsidR="0077757D" w:rsidRPr="00CB78B3">
        <w:rPr>
          <w:rFonts w:cs="Arial"/>
          <w:noProof/>
          <w:szCs w:val="24"/>
        </w:rPr>
        <w:t>Sub-section</w:t>
      </w:r>
      <w:r w:rsidRPr="00CB78B3">
        <w:rPr>
          <w:rFonts w:cs="Arial"/>
          <w:noProof/>
          <w:szCs w:val="24"/>
        </w:rPr>
        <w:t xml:space="preserve"> 2.2);</w:t>
      </w:r>
    </w:p>
    <w:p w:rsidR="00502E20" w:rsidRPr="00CB78B3" w:rsidRDefault="00DA2B16" w:rsidP="009D502F">
      <w:pPr>
        <w:numPr>
          <w:ilvl w:val="0"/>
          <w:numId w:val="36"/>
        </w:numPr>
        <w:spacing w:before="45" w:after="45"/>
        <w:ind w:left="567" w:hanging="283"/>
        <w:rPr>
          <w:rFonts w:cs="Arial"/>
          <w:noProof/>
          <w:szCs w:val="24"/>
        </w:rPr>
      </w:pPr>
      <w:r w:rsidRPr="00CB78B3">
        <w:rPr>
          <w:rFonts w:cs="Arial"/>
          <w:noProof/>
          <w:szCs w:val="24"/>
        </w:rPr>
        <w:t xml:space="preserve">Minimum Revenue Provision Policy </w:t>
      </w:r>
      <w:r w:rsidR="00316AC8" w:rsidRPr="00CB78B3">
        <w:rPr>
          <w:rFonts w:cs="Arial"/>
          <w:noProof/>
          <w:szCs w:val="24"/>
        </w:rPr>
        <w:t xml:space="preserve">Statement </w:t>
      </w:r>
      <w:r w:rsidRPr="00CB78B3">
        <w:rPr>
          <w:rFonts w:cs="Arial"/>
          <w:noProof/>
          <w:szCs w:val="24"/>
        </w:rPr>
        <w:t>(</w:t>
      </w:r>
      <w:r w:rsidR="0077757D" w:rsidRPr="00CB78B3">
        <w:rPr>
          <w:rFonts w:cs="Arial"/>
          <w:noProof/>
          <w:szCs w:val="24"/>
        </w:rPr>
        <w:t>Sub-section</w:t>
      </w:r>
      <w:r w:rsidRPr="00CB78B3">
        <w:rPr>
          <w:rFonts w:cs="Arial"/>
          <w:noProof/>
          <w:szCs w:val="24"/>
        </w:rPr>
        <w:t xml:space="preserve"> 2.3</w:t>
      </w:r>
      <w:r w:rsidR="006F7B39" w:rsidRPr="00CB78B3">
        <w:rPr>
          <w:rFonts w:cs="Arial"/>
          <w:noProof/>
          <w:szCs w:val="24"/>
        </w:rPr>
        <w:t xml:space="preserve"> and Appendix </w:t>
      </w:r>
      <w:r w:rsidR="00D314A7" w:rsidRPr="00CB78B3">
        <w:rPr>
          <w:rFonts w:cs="Arial"/>
          <w:noProof/>
          <w:szCs w:val="24"/>
        </w:rPr>
        <w:t>C</w:t>
      </w:r>
      <w:r w:rsidRPr="00CB78B3">
        <w:rPr>
          <w:rFonts w:cs="Arial"/>
          <w:noProof/>
          <w:szCs w:val="24"/>
        </w:rPr>
        <w:t>)</w:t>
      </w:r>
      <w:r w:rsidR="00502E20" w:rsidRPr="00CB78B3">
        <w:rPr>
          <w:rFonts w:cs="Arial"/>
          <w:noProof/>
          <w:szCs w:val="24"/>
        </w:rPr>
        <w:t>; and</w:t>
      </w:r>
    </w:p>
    <w:p w:rsidR="00DA2B16" w:rsidRPr="00CB78B3" w:rsidRDefault="00502E20" w:rsidP="009D502F">
      <w:pPr>
        <w:numPr>
          <w:ilvl w:val="0"/>
          <w:numId w:val="36"/>
        </w:numPr>
        <w:spacing w:before="45" w:after="45"/>
        <w:ind w:left="567" w:hanging="283"/>
        <w:rPr>
          <w:rFonts w:cs="Arial"/>
          <w:noProof/>
          <w:szCs w:val="24"/>
        </w:rPr>
      </w:pPr>
      <w:r w:rsidRPr="00CB78B3">
        <w:rPr>
          <w:rFonts w:cs="Arial"/>
          <w:noProof/>
          <w:szCs w:val="24"/>
        </w:rPr>
        <w:t>Core funds and expected investment balances (</w:t>
      </w:r>
      <w:r w:rsidR="0077757D" w:rsidRPr="00CB78B3">
        <w:rPr>
          <w:rFonts w:cs="Arial"/>
          <w:noProof/>
          <w:szCs w:val="24"/>
        </w:rPr>
        <w:t>Sub-section</w:t>
      </w:r>
      <w:r w:rsidRPr="00CB78B3">
        <w:rPr>
          <w:rFonts w:cs="Arial"/>
          <w:noProof/>
          <w:szCs w:val="24"/>
        </w:rPr>
        <w:t xml:space="preserve"> 2.4).</w:t>
      </w:r>
    </w:p>
    <w:p w:rsidR="006C5AA5" w:rsidRPr="00CB78B3" w:rsidRDefault="006C5AA5" w:rsidP="00DA2B16">
      <w:pPr>
        <w:spacing w:before="45" w:after="45"/>
        <w:rPr>
          <w:rFonts w:cs="Arial"/>
          <w:b/>
          <w:noProof/>
          <w:szCs w:val="24"/>
        </w:rPr>
      </w:pPr>
    </w:p>
    <w:p w:rsidR="00DA2B16" w:rsidRPr="00CB78B3" w:rsidRDefault="00DA2B16" w:rsidP="00DA2B16">
      <w:pPr>
        <w:spacing w:before="45" w:after="45"/>
        <w:rPr>
          <w:rFonts w:cs="Arial"/>
          <w:b/>
          <w:noProof/>
          <w:szCs w:val="24"/>
        </w:rPr>
      </w:pPr>
      <w:r w:rsidRPr="00CB78B3">
        <w:rPr>
          <w:rFonts w:cs="Arial"/>
          <w:b/>
          <w:noProof/>
          <w:szCs w:val="24"/>
        </w:rPr>
        <w:t xml:space="preserve">Treasury Management Issues </w:t>
      </w:r>
    </w:p>
    <w:p w:rsidR="009D502F" w:rsidRPr="00CB78B3" w:rsidRDefault="009D502F" w:rsidP="003B447E">
      <w:pPr>
        <w:numPr>
          <w:ilvl w:val="0"/>
          <w:numId w:val="37"/>
        </w:numPr>
        <w:spacing w:before="45" w:after="45"/>
        <w:ind w:left="567" w:hanging="283"/>
        <w:rPr>
          <w:rFonts w:cs="Arial"/>
          <w:noProof/>
          <w:szCs w:val="24"/>
          <w:u w:val="single"/>
        </w:rPr>
      </w:pPr>
      <w:r w:rsidRPr="00CB78B3">
        <w:rPr>
          <w:rFonts w:cs="Arial"/>
          <w:noProof/>
          <w:szCs w:val="24"/>
          <w:u w:val="single"/>
        </w:rPr>
        <w:t>Borrowing</w:t>
      </w:r>
      <w:r w:rsidR="00DC77B6" w:rsidRPr="00CB78B3">
        <w:rPr>
          <w:rFonts w:cs="Arial"/>
          <w:noProof/>
          <w:szCs w:val="24"/>
          <w:u w:val="single"/>
        </w:rPr>
        <w:t xml:space="preserve"> (</w:t>
      </w:r>
      <w:r w:rsidR="0077757D" w:rsidRPr="00CB78B3">
        <w:rPr>
          <w:rFonts w:cs="Arial"/>
          <w:noProof/>
          <w:szCs w:val="24"/>
          <w:u w:val="single"/>
        </w:rPr>
        <w:t>Section</w:t>
      </w:r>
      <w:r w:rsidR="00DC77B6" w:rsidRPr="00CB78B3">
        <w:rPr>
          <w:rFonts w:cs="Arial"/>
          <w:noProof/>
          <w:szCs w:val="24"/>
          <w:u w:val="single"/>
        </w:rPr>
        <w:t xml:space="preserve"> 3)</w:t>
      </w:r>
    </w:p>
    <w:p w:rsidR="00D314A7" w:rsidRPr="00CB78B3" w:rsidRDefault="00D314A7" w:rsidP="00D314A7">
      <w:pPr>
        <w:numPr>
          <w:ilvl w:val="0"/>
          <w:numId w:val="38"/>
        </w:numPr>
        <w:spacing w:before="45" w:after="45"/>
        <w:rPr>
          <w:rFonts w:cs="Arial"/>
          <w:noProof/>
          <w:szCs w:val="24"/>
        </w:rPr>
      </w:pPr>
      <w:r w:rsidRPr="00CB78B3">
        <w:rPr>
          <w:rFonts w:cs="Arial"/>
          <w:noProof/>
          <w:szCs w:val="24"/>
        </w:rPr>
        <w:t xml:space="preserve">Current </w:t>
      </w:r>
      <w:r w:rsidR="00684C06" w:rsidRPr="00CB78B3">
        <w:rPr>
          <w:rFonts w:cs="Arial"/>
          <w:noProof/>
          <w:szCs w:val="24"/>
        </w:rPr>
        <w:t xml:space="preserve">and estimated </w:t>
      </w:r>
      <w:r w:rsidRPr="00CB78B3">
        <w:rPr>
          <w:rFonts w:cs="Arial"/>
          <w:noProof/>
          <w:szCs w:val="24"/>
        </w:rPr>
        <w:t>portfolio position (</w:t>
      </w:r>
      <w:r w:rsidR="0077757D" w:rsidRPr="00CB78B3">
        <w:rPr>
          <w:rFonts w:cs="Arial"/>
          <w:noProof/>
          <w:szCs w:val="24"/>
        </w:rPr>
        <w:t>Sub-section</w:t>
      </w:r>
      <w:r w:rsidRPr="00CB78B3">
        <w:rPr>
          <w:rFonts w:cs="Arial"/>
          <w:noProof/>
          <w:szCs w:val="24"/>
        </w:rPr>
        <w:t xml:space="preserve"> 3.1);</w:t>
      </w:r>
    </w:p>
    <w:p w:rsidR="00D314A7" w:rsidRPr="00CB78B3" w:rsidRDefault="00D314A7" w:rsidP="00D314A7">
      <w:pPr>
        <w:numPr>
          <w:ilvl w:val="0"/>
          <w:numId w:val="38"/>
        </w:numPr>
        <w:spacing w:before="45" w:after="45"/>
        <w:rPr>
          <w:rFonts w:cs="Arial"/>
          <w:noProof/>
          <w:szCs w:val="24"/>
        </w:rPr>
      </w:pPr>
      <w:r w:rsidRPr="00CB78B3">
        <w:rPr>
          <w:rFonts w:cs="Arial"/>
          <w:noProof/>
          <w:szCs w:val="24"/>
        </w:rPr>
        <w:t>Treasury indicators: limits to borrowing activity (</w:t>
      </w:r>
      <w:r w:rsidR="0077757D" w:rsidRPr="00CB78B3">
        <w:rPr>
          <w:rFonts w:cs="Arial"/>
          <w:noProof/>
          <w:szCs w:val="24"/>
        </w:rPr>
        <w:t>Sub-section</w:t>
      </w:r>
      <w:r w:rsidRPr="00CB78B3">
        <w:rPr>
          <w:rFonts w:cs="Arial"/>
          <w:noProof/>
          <w:szCs w:val="24"/>
        </w:rPr>
        <w:t xml:space="preserve"> 3.2);</w:t>
      </w:r>
    </w:p>
    <w:p w:rsidR="00D314A7" w:rsidRPr="00CB78B3" w:rsidRDefault="00D314A7" w:rsidP="00D314A7">
      <w:pPr>
        <w:numPr>
          <w:ilvl w:val="0"/>
          <w:numId w:val="38"/>
        </w:numPr>
        <w:spacing w:before="45" w:after="45"/>
        <w:rPr>
          <w:rFonts w:cs="Arial"/>
          <w:noProof/>
          <w:szCs w:val="24"/>
        </w:rPr>
      </w:pPr>
      <w:r w:rsidRPr="00CB78B3">
        <w:rPr>
          <w:rFonts w:cs="Arial"/>
          <w:noProof/>
          <w:szCs w:val="24"/>
        </w:rPr>
        <w:lastRenderedPageBreak/>
        <w:t>Prospects for interest rates and economic commentary (</w:t>
      </w:r>
      <w:r w:rsidR="0077757D" w:rsidRPr="00CB78B3">
        <w:rPr>
          <w:rFonts w:cs="Arial"/>
          <w:noProof/>
          <w:szCs w:val="24"/>
        </w:rPr>
        <w:t>Sub-section</w:t>
      </w:r>
      <w:r w:rsidRPr="00CB78B3">
        <w:rPr>
          <w:rFonts w:cs="Arial"/>
          <w:noProof/>
          <w:szCs w:val="24"/>
        </w:rPr>
        <w:t xml:space="preserve"> 3.3</w:t>
      </w:r>
      <w:r w:rsidR="00C53C4A" w:rsidRPr="00CB78B3">
        <w:rPr>
          <w:rFonts w:cs="Arial"/>
          <w:noProof/>
          <w:szCs w:val="24"/>
        </w:rPr>
        <w:t xml:space="preserve"> and Appendi</w:t>
      </w:r>
      <w:r w:rsidR="0091505E" w:rsidRPr="00CB78B3">
        <w:rPr>
          <w:rFonts w:cs="Arial"/>
          <w:noProof/>
          <w:szCs w:val="24"/>
        </w:rPr>
        <w:t>ces</w:t>
      </w:r>
      <w:r w:rsidR="00C53C4A" w:rsidRPr="00CB78B3">
        <w:rPr>
          <w:rFonts w:cs="Arial"/>
          <w:noProof/>
          <w:szCs w:val="24"/>
        </w:rPr>
        <w:t xml:space="preserve"> D</w:t>
      </w:r>
      <w:r w:rsidR="0091505E" w:rsidRPr="00CB78B3">
        <w:rPr>
          <w:rFonts w:cs="Arial"/>
          <w:noProof/>
          <w:szCs w:val="24"/>
        </w:rPr>
        <w:t xml:space="preserve"> and E</w:t>
      </w:r>
      <w:r w:rsidRPr="00CB78B3">
        <w:rPr>
          <w:rFonts w:cs="Arial"/>
          <w:noProof/>
          <w:szCs w:val="24"/>
        </w:rPr>
        <w:t>);</w:t>
      </w:r>
    </w:p>
    <w:p w:rsidR="00D314A7" w:rsidRPr="00CB78B3" w:rsidRDefault="00D314A7" w:rsidP="00D314A7">
      <w:pPr>
        <w:numPr>
          <w:ilvl w:val="0"/>
          <w:numId w:val="38"/>
        </w:numPr>
        <w:spacing w:before="45" w:after="45"/>
        <w:rPr>
          <w:rFonts w:cs="Arial"/>
          <w:noProof/>
          <w:szCs w:val="24"/>
        </w:rPr>
      </w:pPr>
      <w:r w:rsidRPr="00CB78B3">
        <w:rPr>
          <w:rFonts w:cs="Arial"/>
          <w:noProof/>
          <w:szCs w:val="24"/>
        </w:rPr>
        <w:t>Borrowing strategy (</w:t>
      </w:r>
      <w:r w:rsidR="0077757D" w:rsidRPr="00CB78B3">
        <w:rPr>
          <w:rFonts w:cs="Arial"/>
          <w:noProof/>
          <w:szCs w:val="24"/>
        </w:rPr>
        <w:t>Sub-section</w:t>
      </w:r>
      <w:r w:rsidRPr="00CB78B3">
        <w:rPr>
          <w:rFonts w:cs="Arial"/>
          <w:noProof/>
          <w:szCs w:val="24"/>
        </w:rPr>
        <w:t xml:space="preserve"> 3.4);</w:t>
      </w:r>
    </w:p>
    <w:p w:rsidR="00D314A7" w:rsidRPr="00CB78B3" w:rsidRDefault="00D314A7" w:rsidP="00D314A7">
      <w:pPr>
        <w:numPr>
          <w:ilvl w:val="0"/>
          <w:numId w:val="38"/>
        </w:numPr>
        <w:spacing w:before="45" w:after="45"/>
        <w:rPr>
          <w:rFonts w:cs="Arial"/>
          <w:noProof/>
          <w:szCs w:val="24"/>
        </w:rPr>
      </w:pPr>
      <w:r w:rsidRPr="00CB78B3">
        <w:rPr>
          <w:rFonts w:cs="Arial"/>
          <w:noProof/>
          <w:szCs w:val="24"/>
        </w:rPr>
        <w:t>Treasury management limits on activity (</w:t>
      </w:r>
      <w:r w:rsidR="0077757D" w:rsidRPr="00CB78B3">
        <w:rPr>
          <w:rFonts w:cs="Arial"/>
          <w:noProof/>
          <w:szCs w:val="24"/>
        </w:rPr>
        <w:t>Sub-section</w:t>
      </w:r>
      <w:r w:rsidRPr="00CB78B3">
        <w:rPr>
          <w:rFonts w:cs="Arial"/>
          <w:noProof/>
          <w:szCs w:val="24"/>
        </w:rPr>
        <w:t xml:space="preserve"> 3.5);</w:t>
      </w:r>
    </w:p>
    <w:p w:rsidR="00D314A7" w:rsidRPr="00CB78B3" w:rsidRDefault="00D314A7" w:rsidP="00D314A7">
      <w:pPr>
        <w:numPr>
          <w:ilvl w:val="0"/>
          <w:numId w:val="38"/>
        </w:numPr>
        <w:spacing w:before="45" w:after="45"/>
        <w:rPr>
          <w:rFonts w:cs="Arial"/>
          <w:noProof/>
          <w:szCs w:val="24"/>
        </w:rPr>
      </w:pPr>
      <w:r w:rsidRPr="00CB78B3">
        <w:rPr>
          <w:rFonts w:cs="Arial"/>
          <w:noProof/>
          <w:szCs w:val="24"/>
        </w:rPr>
        <w:t>Policy on borrowing in advance of need (</w:t>
      </w:r>
      <w:r w:rsidR="00881993" w:rsidRPr="00CB78B3">
        <w:rPr>
          <w:rFonts w:cs="Arial"/>
          <w:noProof/>
          <w:szCs w:val="24"/>
        </w:rPr>
        <w:t>Sub-section</w:t>
      </w:r>
      <w:r w:rsidRPr="00CB78B3">
        <w:rPr>
          <w:rFonts w:cs="Arial"/>
          <w:noProof/>
          <w:szCs w:val="24"/>
        </w:rPr>
        <w:t xml:space="preserve"> 3.6); and</w:t>
      </w:r>
    </w:p>
    <w:p w:rsidR="00D314A7" w:rsidRPr="00CB78B3" w:rsidRDefault="00D314A7" w:rsidP="00D314A7">
      <w:pPr>
        <w:numPr>
          <w:ilvl w:val="0"/>
          <w:numId w:val="38"/>
        </w:numPr>
        <w:spacing w:before="45" w:after="45"/>
        <w:rPr>
          <w:rFonts w:cs="Arial"/>
          <w:noProof/>
          <w:szCs w:val="24"/>
        </w:rPr>
      </w:pPr>
      <w:r w:rsidRPr="00CB78B3">
        <w:rPr>
          <w:rFonts w:cs="Arial"/>
          <w:noProof/>
          <w:szCs w:val="24"/>
        </w:rPr>
        <w:t>Debt rescheduling (</w:t>
      </w:r>
      <w:r w:rsidR="00881993" w:rsidRPr="00CB78B3">
        <w:rPr>
          <w:rFonts w:cs="Arial"/>
          <w:noProof/>
          <w:szCs w:val="24"/>
        </w:rPr>
        <w:t>Sub-section</w:t>
      </w:r>
      <w:r w:rsidRPr="00CB78B3">
        <w:rPr>
          <w:rFonts w:cs="Arial"/>
          <w:noProof/>
          <w:szCs w:val="24"/>
        </w:rPr>
        <w:t xml:space="preserve"> 3.7).</w:t>
      </w:r>
    </w:p>
    <w:p w:rsidR="00D314A7" w:rsidRPr="00CB78B3" w:rsidRDefault="00D314A7" w:rsidP="00D314A7">
      <w:pPr>
        <w:spacing w:before="45" w:after="45"/>
        <w:rPr>
          <w:rFonts w:cs="Arial"/>
          <w:noProof/>
          <w:szCs w:val="24"/>
          <w:u w:val="single"/>
        </w:rPr>
      </w:pPr>
    </w:p>
    <w:p w:rsidR="009D502F" w:rsidRPr="00CB78B3" w:rsidRDefault="009D502F" w:rsidP="003B447E">
      <w:pPr>
        <w:numPr>
          <w:ilvl w:val="0"/>
          <w:numId w:val="37"/>
        </w:numPr>
        <w:spacing w:before="45" w:after="45"/>
        <w:ind w:left="567" w:hanging="283"/>
        <w:rPr>
          <w:rFonts w:cs="Arial"/>
          <w:noProof/>
          <w:szCs w:val="24"/>
        </w:rPr>
      </w:pPr>
      <w:r w:rsidRPr="00CB78B3">
        <w:rPr>
          <w:rFonts w:cs="Arial"/>
          <w:noProof/>
          <w:szCs w:val="24"/>
          <w:u w:val="single"/>
        </w:rPr>
        <w:t>Annual Investment Strategy</w:t>
      </w:r>
      <w:r w:rsidR="00DC77B6" w:rsidRPr="00CB78B3">
        <w:rPr>
          <w:rFonts w:cs="Arial"/>
          <w:noProof/>
          <w:szCs w:val="24"/>
          <w:u w:val="single"/>
        </w:rPr>
        <w:t xml:space="preserve"> (</w:t>
      </w:r>
      <w:r w:rsidR="00881993" w:rsidRPr="00CB78B3">
        <w:rPr>
          <w:rFonts w:cs="Arial"/>
          <w:noProof/>
          <w:szCs w:val="24"/>
          <w:u w:val="single"/>
        </w:rPr>
        <w:t>Section</w:t>
      </w:r>
      <w:r w:rsidR="00DC77B6" w:rsidRPr="00CB78B3">
        <w:rPr>
          <w:rFonts w:cs="Arial"/>
          <w:noProof/>
          <w:szCs w:val="24"/>
          <w:u w:val="single"/>
        </w:rPr>
        <w:t xml:space="preserve"> 4)</w:t>
      </w:r>
    </w:p>
    <w:p w:rsidR="005546C5" w:rsidRPr="00CB78B3" w:rsidRDefault="005546C5" w:rsidP="005546C5">
      <w:pPr>
        <w:numPr>
          <w:ilvl w:val="0"/>
          <w:numId w:val="38"/>
        </w:numPr>
        <w:spacing w:before="45" w:after="45"/>
        <w:rPr>
          <w:rFonts w:cs="Arial"/>
          <w:noProof/>
          <w:szCs w:val="24"/>
        </w:rPr>
      </w:pPr>
      <w:r w:rsidRPr="00CB78B3">
        <w:rPr>
          <w:rFonts w:cs="Arial"/>
          <w:noProof/>
          <w:szCs w:val="24"/>
        </w:rPr>
        <w:t>Investment policy</w:t>
      </w:r>
      <w:r w:rsidR="002F2183" w:rsidRPr="00CB78B3">
        <w:rPr>
          <w:rFonts w:cs="Arial"/>
          <w:noProof/>
          <w:szCs w:val="24"/>
        </w:rPr>
        <w:t xml:space="preserve"> (</w:t>
      </w:r>
      <w:r w:rsidR="00881993" w:rsidRPr="00CB78B3">
        <w:rPr>
          <w:rFonts w:cs="Arial"/>
          <w:noProof/>
          <w:szCs w:val="24"/>
        </w:rPr>
        <w:t>Sub-section</w:t>
      </w:r>
      <w:r w:rsidR="002F2183" w:rsidRPr="00CB78B3">
        <w:rPr>
          <w:rFonts w:cs="Arial"/>
          <w:noProof/>
          <w:szCs w:val="24"/>
        </w:rPr>
        <w:t xml:space="preserve"> 4.1);</w:t>
      </w:r>
    </w:p>
    <w:p w:rsidR="002F2183" w:rsidRPr="00CB78B3" w:rsidRDefault="002F2183" w:rsidP="005546C5">
      <w:pPr>
        <w:numPr>
          <w:ilvl w:val="0"/>
          <w:numId w:val="38"/>
        </w:numPr>
        <w:spacing w:before="45" w:after="45"/>
        <w:rPr>
          <w:rFonts w:cs="Arial"/>
          <w:noProof/>
          <w:szCs w:val="24"/>
        </w:rPr>
      </w:pPr>
      <w:r w:rsidRPr="00CB78B3">
        <w:rPr>
          <w:rFonts w:cs="Arial"/>
          <w:noProof/>
          <w:szCs w:val="24"/>
        </w:rPr>
        <w:t>Creditworthiness policy (</w:t>
      </w:r>
      <w:r w:rsidR="00881993" w:rsidRPr="00CB78B3">
        <w:rPr>
          <w:rFonts w:cs="Arial"/>
          <w:noProof/>
          <w:szCs w:val="24"/>
        </w:rPr>
        <w:t>Sub-section</w:t>
      </w:r>
      <w:r w:rsidRPr="00CB78B3">
        <w:rPr>
          <w:rFonts w:cs="Arial"/>
          <w:noProof/>
          <w:szCs w:val="24"/>
        </w:rPr>
        <w:t xml:space="preserve"> 4.2);</w:t>
      </w:r>
    </w:p>
    <w:p w:rsidR="002F2183" w:rsidRPr="00CB78B3" w:rsidRDefault="002F2183" w:rsidP="005546C5">
      <w:pPr>
        <w:numPr>
          <w:ilvl w:val="0"/>
          <w:numId w:val="38"/>
        </w:numPr>
        <w:spacing w:before="45" w:after="45"/>
        <w:rPr>
          <w:rFonts w:cs="Arial"/>
          <w:noProof/>
          <w:szCs w:val="24"/>
        </w:rPr>
      </w:pPr>
      <w:r w:rsidRPr="00CB78B3">
        <w:rPr>
          <w:rFonts w:cs="Arial"/>
          <w:noProof/>
          <w:szCs w:val="24"/>
        </w:rPr>
        <w:t>Country limits (</w:t>
      </w:r>
      <w:r w:rsidR="00881993" w:rsidRPr="00CB78B3">
        <w:rPr>
          <w:rFonts w:cs="Arial"/>
          <w:noProof/>
          <w:szCs w:val="24"/>
        </w:rPr>
        <w:t>Sub-section</w:t>
      </w:r>
      <w:r w:rsidRPr="00CB78B3">
        <w:rPr>
          <w:rFonts w:cs="Arial"/>
          <w:noProof/>
          <w:szCs w:val="24"/>
        </w:rPr>
        <w:t xml:space="preserve"> 4.3);</w:t>
      </w:r>
    </w:p>
    <w:p w:rsidR="002F2183" w:rsidRPr="00CB78B3" w:rsidRDefault="002F2183" w:rsidP="005546C5">
      <w:pPr>
        <w:numPr>
          <w:ilvl w:val="0"/>
          <w:numId w:val="38"/>
        </w:numPr>
        <w:spacing w:before="45" w:after="45"/>
        <w:rPr>
          <w:rFonts w:cs="Arial"/>
          <w:noProof/>
          <w:szCs w:val="24"/>
        </w:rPr>
      </w:pPr>
      <w:r w:rsidRPr="00CB78B3">
        <w:rPr>
          <w:rFonts w:cs="Arial"/>
          <w:noProof/>
          <w:szCs w:val="24"/>
        </w:rPr>
        <w:t>Annual Investment Strategy (</w:t>
      </w:r>
      <w:r w:rsidR="00881993" w:rsidRPr="00CB78B3">
        <w:rPr>
          <w:rFonts w:cs="Arial"/>
          <w:noProof/>
          <w:szCs w:val="24"/>
        </w:rPr>
        <w:t>Sub-section</w:t>
      </w:r>
      <w:r w:rsidRPr="00CB78B3">
        <w:rPr>
          <w:rFonts w:cs="Arial"/>
          <w:noProof/>
          <w:szCs w:val="24"/>
        </w:rPr>
        <w:t xml:space="preserve"> 4.4);</w:t>
      </w:r>
    </w:p>
    <w:p w:rsidR="002F2183" w:rsidRPr="00CB78B3" w:rsidRDefault="002F2183" w:rsidP="005546C5">
      <w:pPr>
        <w:numPr>
          <w:ilvl w:val="0"/>
          <w:numId w:val="38"/>
        </w:numPr>
        <w:spacing w:before="45" w:after="45"/>
        <w:rPr>
          <w:rFonts w:cs="Arial"/>
          <w:noProof/>
          <w:szCs w:val="24"/>
        </w:rPr>
      </w:pPr>
      <w:r w:rsidRPr="00CB78B3">
        <w:rPr>
          <w:rFonts w:cs="Arial"/>
          <w:noProof/>
          <w:szCs w:val="24"/>
        </w:rPr>
        <w:t>Investment risk benchmarking (</w:t>
      </w:r>
      <w:r w:rsidR="00881993" w:rsidRPr="00CB78B3">
        <w:rPr>
          <w:rFonts w:cs="Arial"/>
          <w:noProof/>
          <w:szCs w:val="24"/>
        </w:rPr>
        <w:t>Sub-section</w:t>
      </w:r>
      <w:r w:rsidRPr="00CB78B3">
        <w:rPr>
          <w:rFonts w:cs="Arial"/>
          <w:noProof/>
          <w:szCs w:val="24"/>
        </w:rPr>
        <w:t xml:space="preserve"> 4.5); and</w:t>
      </w:r>
    </w:p>
    <w:p w:rsidR="002F2183" w:rsidRPr="00CB78B3" w:rsidRDefault="002F2183" w:rsidP="005546C5">
      <w:pPr>
        <w:numPr>
          <w:ilvl w:val="0"/>
          <w:numId w:val="38"/>
        </w:numPr>
        <w:spacing w:before="45" w:after="45"/>
        <w:rPr>
          <w:rFonts w:cs="Arial"/>
          <w:noProof/>
          <w:szCs w:val="24"/>
        </w:rPr>
      </w:pPr>
      <w:r w:rsidRPr="00CB78B3">
        <w:rPr>
          <w:rFonts w:cs="Arial"/>
          <w:noProof/>
          <w:szCs w:val="24"/>
        </w:rPr>
        <w:t>End of year investment report (</w:t>
      </w:r>
      <w:r w:rsidR="00881993" w:rsidRPr="00CB78B3">
        <w:rPr>
          <w:rFonts w:cs="Arial"/>
          <w:noProof/>
          <w:szCs w:val="24"/>
        </w:rPr>
        <w:t>Sub-section</w:t>
      </w:r>
      <w:r w:rsidRPr="00CB78B3">
        <w:rPr>
          <w:rFonts w:cs="Arial"/>
          <w:noProof/>
          <w:szCs w:val="24"/>
        </w:rPr>
        <w:t xml:space="preserve"> 4.6).</w:t>
      </w:r>
    </w:p>
    <w:p w:rsidR="003B447E" w:rsidRDefault="003B447E" w:rsidP="00DC77B6">
      <w:pPr>
        <w:spacing w:before="45" w:after="45"/>
        <w:ind w:left="360"/>
        <w:rPr>
          <w:rFonts w:cs="Arial"/>
          <w:b/>
          <w:noProof/>
          <w:szCs w:val="24"/>
        </w:rPr>
      </w:pPr>
    </w:p>
    <w:p w:rsidR="0037182E" w:rsidRPr="00CB78B3" w:rsidRDefault="0037182E" w:rsidP="00DC77B6">
      <w:pPr>
        <w:spacing w:before="45" w:after="45"/>
        <w:ind w:left="360"/>
        <w:rPr>
          <w:rFonts w:cs="Arial"/>
          <w:b/>
          <w:noProof/>
          <w:szCs w:val="24"/>
        </w:rPr>
      </w:pPr>
    </w:p>
    <w:p w:rsidR="00DC77B6" w:rsidRPr="00F76E59" w:rsidRDefault="00DC77B6" w:rsidP="003B447E">
      <w:pPr>
        <w:spacing w:before="45" w:after="45"/>
        <w:rPr>
          <w:rFonts w:cs="Arial"/>
          <w:b/>
          <w:noProof/>
          <w:szCs w:val="24"/>
        </w:rPr>
      </w:pPr>
      <w:r w:rsidRPr="00CB78B3">
        <w:rPr>
          <w:rFonts w:cs="Arial"/>
          <w:b/>
          <w:noProof/>
          <w:szCs w:val="24"/>
        </w:rPr>
        <w:t>Affordability Prudential Indicators (</w:t>
      </w:r>
      <w:r w:rsidR="00881993" w:rsidRPr="00CB78B3">
        <w:rPr>
          <w:rFonts w:cs="Arial"/>
          <w:b/>
          <w:noProof/>
          <w:szCs w:val="24"/>
        </w:rPr>
        <w:t>Section</w:t>
      </w:r>
      <w:r w:rsidRPr="00CB78B3">
        <w:rPr>
          <w:rFonts w:cs="Arial"/>
          <w:b/>
          <w:noProof/>
          <w:szCs w:val="24"/>
        </w:rPr>
        <w:t xml:space="preserve"> 5</w:t>
      </w:r>
      <w:r w:rsidR="00C53C4A" w:rsidRPr="00CB78B3">
        <w:rPr>
          <w:rFonts w:cs="Arial"/>
          <w:b/>
          <w:noProof/>
          <w:szCs w:val="24"/>
        </w:rPr>
        <w:t xml:space="preserve"> and Appendix G</w:t>
      </w:r>
      <w:r w:rsidRPr="00CB78B3">
        <w:rPr>
          <w:rFonts w:cs="Arial"/>
          <w:b/>
          <w:noProof/>
          <w:szCs w:val="24"/>
        </w:rPr>
        <w:t>)</w:t>
      </w:r>
    </w:p>
    <w:p w:rsidR="002F2183" w:rsidRDefault="002F2183" w:rsidP="00DA2B16">
      <w:pPr>
        <w:ind w:left="561" w:hanging="561"/>
        <w:jc w:val="both"/>
        <w:rPr>
          <w:rFonts w:cs="Arial"/>
          <w:szCs w:val="24"/>
        </w:rPr>
      </w:pPr>
    </w:p>
    <w:p w:rsidR="00DA2B16" w:rsidRDefault="00B32254" w:rsidP="00DA2B16">
      <w:pPr>
        <w:ind w:left="561" w:hanging="561"/>
        <w:jc w:val="both"/>
        <w:rPr>
          <w:rFonts w:cs="Arial"/>
          <w:szCs w:val="24"/>
        </w:rPr>
      </w:pPr>
      <w:r>
        <w:rPr>
          <w:rFonts w:cs="Arial"/>
          <w:szCs w:val="24"/>
        </w:rPr>
        <w:t>19</w:t>
      </w:r>
      <w:r w:rsidR="00DA2B16" w:rsidRPr="00DA2B16">
        <w:rPr>
          <w:rFonts w:cs="Arial"/>
          <w:szCs w:val="24"/>
        </w:rPr>
        <w:t>.</w:t>
      </w:r>
      <w:r w:rsidR="00DA2B16" w:rsidRPr="00DA2B16">
        <w:rPr>
          <w:rFonts w:cs="Arial"/>
          <w:szCs w:val="24"/>
        </w:rPr>
        <w:tab/>
      </w:r>
      <w:r w:rsidR="00DA2B16" w:rsidRPr="00F76E59">
        <w:rPr>
          <w:rFonts w:cs="Arial"/>
          <w:szCs w:val="24"/>
        </w:rPr>
        <w:t>These elements cover the requirements of the Local Government Act 2003, the CIPFA Prudential Code, the Department for Communities and Local Government (DCLG) Minimum Revenue Provision Guidance, the CIPFA Treasury Management Code and DCLG Investment Guidance.</w:t>
      </w:r>
    </w:p>
    <w:p w:rsidR="00DA2B16" w:rsidRPr="00F76E59" w:rsidRDefault="00DA2B16" w:rsidP="00DA2B16">
      <w:pPr>
        <w:ind w:left="561" w:hanging="561"/>
        <w:jc w:val="both"/>
        <w:rPr>
          <w:rFonts w:cs="Arial"/>
          <w:szCs w:val="24"/>
        </w:rPr>
      </w:pPr>
    </w:p>
    <w:p w:rsidR="00DA2B16" w:rsidRDefault="00DA2B16" w:rsidP="00DA2B16">
      <w:pPr>
        <w:ind w:left="561" w:hanging="561"/>
        <w:jc w:val="both"/>
        <w:rPr>
          <w:rFonts w:cs="Arial"/>
          <w:szCs w:val="24"/>
        </w:rPr>
      </w:pPr>
      <w:r w:rsidRPr="00F76E59">
        <w:rPr>
          <w:rFonts w:cs="Arial"/>
          <w:szCs w:val="24"/>
        </w:rPr>
        <w:t>2</w:t>
      </w:r>
      <w:r w:rsidR="00B32254">
        <w:rPr>
          <w:rFonts w:cs="Arial"/>
          <w:szCs w:val="24"/>
        </w:rPr>
        <w:t>0</w:t>
      </w:r>
      <w:r w:rsidRPr="00F76E59">
        <w:rPr>
          <w:rFonts w:cs="Arial"/>
          <w:szCs w:val="24"/>
        </w:rPr>
        <w:t>.</w:t>
      </w:r>
      <w:r w:rsidR="003B447E">
        <w:rPr>
          <w:rFonts w:cs="Arial"/>
          <w:szCs w:val="24"/>
        </w:rPr>
        <w:tab/>
      </w:r>
      <w:r w:rsidRPr="00F76E59">
        <w:rPr>
          <w:rFonts w:cs="Arial"/>
          <w:szCs w:val="24"/>
        </w:rPr>
        <w:t>It is not considered necessary to produce a separate treasury strategy for the Housing Revenue Account (HRA) in light of the co-mingling of debt and investments between HRA and the General Fund. Where appropriate, details of allocations of balances and interest to HRA are contained in this report.</w:t>
      </w:r>
    </w:p>
    <w:p w:rsidR="00B93CA0" w:rsidRDefault="00B93CA0" w:rsidP="00DA2B16">
      <w:pPr>
        <w:ind w:left="561" w:hanging="561"/>
        <w:jc w:val="both"/>
        <w:rPr>
          <w:rFonts w:cs="Arial"/>
          <w:szCs w:val="24"/>
        </w:rPr>
      </w:pPr>
    </w:p>
    <w:p w:rsidR="00140C7F" w:rsidRDefault="00140C7F" w:rsidP="00DA2B16">
      <w:pPr>
        <w:ind w:left="561" w:hanging="561"/>
        <w:jc w:val="both"/>
        <w:rPr>
          <w:rFonts w:cs="Arial"/>
          <w:szCs w:val="24"/>
        </w:rPr>
      </w:pPr>
    </w:p>
    <w:p w:rsidR="00140C7F" w:rsidRPr="00140C7F" w:rsidRDefault="00140C7F" w:rsidP="00140C7F">
      <w:pPr>
        <w:ind w:left="561" w:hanging="561"/>
        <w:jc w:val="both"/>
        <w:rPr>
          <w:rFonts w:cs="Arial"/>
          <w:b/>
          <w:sz w:val="28"/>
          <w:szCs w:val="28"/>
        </w:rPr>
      </w:pPr>
      <w:r w:rsidRPr="00140C7F">
        <w:rPr>
          <w:rFonts w:cs="Arial"/>
          <w:b/>
          <w:sz w:val="28"/>
          <w:szCs w:val="28"/>
        </w:rPr>
        <w:t>1.7 Options Considered</w:t>
      </w:r>
    </w:p>
    <w:p w:rsidR="00140C7F" w:rsidRPr="00F76E59" w:rsidRDefault="00140C7F" w:rsidP="00DA2B16">
      <w:pPr>
        <w:ind w:left="561" w:hanging="561"/>
        <w:jc w:val="both"/>
        <w:rPr>
          <w:rFonts w:cs="Arial"/>
          <w:szCs w:val="24"/>
        </w:rPr>
      </w:pPr>
    </w:p>
    <w:p w:rsidR="00140C7F" w:rsidRPr="00140C7F" w:rsidRDefault="00140C7F" w:rsidP="00140C7F">
      <w:pPr>
        <w:ind w:left="567" w:hanging="567"/>
        <w:jc w:val="both"/>
        <w:rPr>
          <w:rFonts w:cs="Arial"/>
          <w:szCs w:val="24"/>
        </w:rPr>
      </w:pPr>
      <w:r w:rsidRPr="00140C7F">
        <w:rPr>
          <w:rFonts w:cs="Arial"/>
          <w:szCs w:val="24"/>
        </w:rPr>
        <w:t>2</w:t>
      </w:r>
      <w:r w:rsidR="00B32254">
        <w:rPr>
          <w:rFonts w:cs="Arial"/>
          <w:szCs w:val="24"/>
        </w:rPr>
        <w:t>1</w:t>
      </w:r>
      <w:r w:rsidRPr="00140C7F">
        <w:rPr>
          <w:rFonts w:cs="Arial"/>
          <w:szCs w:val="24"/>
        </w:rPr>
        <w:t>.</w:t>
      </w:r>
      <w:r w:rsidRPr="00140C7F">
        <w:rPr>
          <w:rFonts w:cs="Arial"/>
          <w:szCs w:val="24"/>
        </w:rPr>
        <w:tab/>
        <w:t>No options were considered beyond those discussed in the report due to the statutory and risk management constraints inherent in treasury management.</w:t>
      </w:r>
    </w:p>
    <w:p w:rsidR="00DA2B16" w:rsidRPr="00140C7F" w:rsidRDefault="00DA2B16" w:rsidP="00DA2B16">
      <w:pPr>
        <w:jc w:val="both"/>
        <w:rPr>
          <w:rFonts w:cs="Arial"/>
          <w:szCs w:val="24"/>
        </w:rPr>
      </w:pPr>
    </w:p>
    <w:p w:rsidR="00DA2B16" w:rsidRDefault="00DA2B16" w:rsidP="00DA2B16">
      <w:pPr>
        <w:rPr>
          <w:rFonts w:cs="Arial"/>
          <w:b/>
          <w:sz w:val="32"/>
          <w:szCs w:val="32"/>
        </w:rPr>
      </w:pPr>
      <w:r w:rsidRPr="00F301FB">
        <w:rPr>
          <w:rFonts w:cs="Arial"/>
          <w:b/>
          <w:sz w:val="32"/>
          <w:szCs w:val="32"/>
        </w:rPr>
        <w:t>2. CAPITAL ISSUES</w:t>
      </w:r>
    </w:p>
    <w:p w:rsidR="00B93CA0" w:rsidRDefault="00B93CA0" w:rsidP="00DA2B16">
      <w:pPr>
        <w:rPr>
          <w:rFonts w:cs="Arial"/>
          <w:b/>
          <w:sz w:val="32"/>
          <w:szCs w:val="32"/>
        </w:rPr>
      </w:pPr>
    </w:p>
    <w:p w:rsidR="00DA2B16" w:rsidRPr="00F301FB" w:rsidRDefault="00DA2B16" w:rsidP="00DA2B16">
      <w:pPr>
        <w:rPr>
          <w:rFonts w:cs="Arial"/>
          <w:b/>
          <w:sz w:val="22"/>
          <w:szCs w:val="22"/>
        </w:rPr>
      </w:pPr>
    </w:p>
    <w:p w:rsidR="00DA2B16" w:rsidRDefault="00DA2B16" w:rsidP="00DA2B16">
      <w:pPr>
        <w:ind w:left="561" w:hanging="561"/>
        <w:jc w:val="both"/>
        <w:rPr>
          <w:rFonts w:cs="Arial"/>
          <w:bCs/>
          <w:szCs w:val="24"/>
        </w:rPr>
      </w:pPr>
      <w:r w:rsidRPr="00F301FB">
        <w:rPr>
          <w:rFonts w:cs="Arial"/>
          <w:bCs/>
          <w:szCs w:val="24"/>
        </w:rPr>
        <w:t>2</w:t>
      </w:r>
      <w:r w:rsidR="00B32254">
        <w:rPr>
          <w:rFonts w:cs="Arial"/>
          <w:bCs/>
          <w:szCs w:val="24"/>
        </w:rPr>
        <w:t>2</w:t>
      </w:r>
      <w:r w:rsidRPr="00F301FB">
        <w:rPr>
          <w:rFonts w:cs="Arial"/>
          <w:bCs/>
          <w:szCs w:val="24"/>
        </w:rPr>
        <w:t>.</w:t>
      </w:r>
      <w:r w:rsidR="003B447E">
        <w:rPr>
          <w:rFonts w:cs="Arial"/>
          <w:bCs/>
          <w:szCs w:val="24"/>
        </w:rPr>
        <w:tab/>
      </w:r>
      <w:r w:rsidRPr="00F301FB">
        <w:rPr>
          <w:rFonts w:cs="Arial"/>
          <w:bCs/>
          <w:szCs w:val="24"/>
        </w:rPr>
        <w:t xml:space="preserve">The Council’s capital expenditure programme is the key driver of treasury management activity. The output of the programme is reflected in the Prudential Indicators, which are </w:t>
      </w:r>
      <w:r w:rsidR="00013141">
        <w:rPr>
          <w:rFonts w:cs="Arial"/>
          <w:bCs/>
          <w:szCs w:val="24"/>
        </w:rPr>
        <w:t xml:space="preserve">required by the Prudential Code and are </w:t>
      </w:r>
      <w:r w:rsidRPr="00F301FB">
        <w:rPr>
          <w:rFonts w:cs="Arial"/>
          <w:bCs/>
          <w:szCs w:val="24"/>
        </w:rPr>
        <w:t>designed to assist Members’ overview</w:t>
      </w:r>
      <w:r w:rsidR="00013141">
        <w:rPr>
          <w:rFonts w:cs="Arial"/>
          <w:bCs/>
          <w:szCs w:val="24"/>
        </w:rPr>
        <w:t>.</w:t>
      </w:r>
      <w:r w:rsidRPr="00F301FB">
        <w:rPr>
          <w:rFonts w:cs="Arial"/>
          <w:bCs/>
          <w:szCs w:val="24"/>
        </w:rPr>
        <w:t xml:space="preserve"> The values shown in the tables for 201</w:t>
      </w:r>
      <w:r w:rsidR="006A116B">
        <w:rPr>
          <w:rFonts w:cs="Arial"/>
          <w:bCs/>
          <w:szCs w:val="24"/>
        </w:rPr>
        <w:t>6</w:t>
      </w:r>
      <w:r w:rsidRPr="00F301FB">
        <w:rPr>
          <w:rFonts w:cs="Arial"/>
          <w:bCs/>
          <w:szCs w:val="24"/>
        </w:rPr>
        <w:t>-1</w:t>
      </w:r>
      <w:r w:rsidR="006A116B">
        <w:rPr>
          <w:rFonts w:cs="Arial"/>
          <w:bCs/>
          <w:szCs w:val="24"/>
        </w:rPr>
        <w:t>7</w:t>
      </w:r>
      <w:r w:rsidRPr="00F301FB">
        <w:rPr>
          <w:rFonts w:cs="Arial"/>
          <w:bCs/>
          <w:szCs w:val="24"/>
        </w:rPr>
        <w:t xml:space="preserve"> and 201</w:t>
      </w:r>
      <w:r w:rsidR="006A116B">
        <w:rPr>
          <w:rFonts w:cs="Arial"/>
          <w:bCs/>
          <w:szCs w:val="24"/>
        </w:rPr>
        <w:t>7</w:t>
      </w:r>
      <w:r w:rsidRPr="00F301FB">
        <w:rPr>
          <w:rFonts w:cs="Arial"/>
          <w:bCs/>
          <w:szCs w:val="24"/>
        </w:rPr>
        <w:t>-1</w:t>
      </w:r>
      <w:r w:rsidR="006A116B">
        <w:rPr>
          <w:rFonts w:cs="Arial"/>
          <w:bCs/>
          <w:szCs w:val="24"/>
        </w:rPr>
        <w:t>8</w:t>
      </w:r>
      <w:r w:rsidRPr="00F301FB">
        <w:rPr>
          <w:rFonts w:cs="Arial"/>
          <w:bCs/>
          <w:szCs w:val="24"/>
        </w:rPr>
        <w:t xml:space="preserve"> are actual and estimated outturn respectively and not the strategy for those years.</w:t>
      </w:r>
    </w:p>
    <w:p w:rsidR="00133B17" w:rsidRDefault="00133B17" w:rsidP="00DA2B16">
      <w:pPr>
        <w:ind w:left="561" w:hanging="561"/>
        <w:jc w:val="both"/>
        <w:rPr>
          <w:rFonts w:cs="Arial"/>
          <w:bCs/>
          <w:szCs w:val="24"/>
        </w:rPr>
      </w:pPr>
    </w:p>
    <w:p w:rsidR="00133B17" w:rsidRPr="00F301FB" w:rsidRDefault="00133B17" w:rsidP="00DA2B16">
      <w:pPr>
        <w:ind w:left="561" w:hanging="561"/>
        <w:jc w:val="both"/>
        <w:rPr>
          <w:rFonts w:cs="Arial"/>
          <w:bCs/>
          <w:szCs w:val="24"/>
        </w:rPr>
      </w:pPr>
    </w:p>
    <w:p w:rsidR="00DA2B16" w:rsidRPr="00DA2B16" w:rsidRDefault="00DA2B16" w:rsidP="003B447E">
      <w:pPr>
        <w:spacing w:before="270" w:after="180"/>
        <w:ind w:left="426" w:hanging="426"/>
        <w:rPr>
          <w:rFonts w:cs="Arial"/>
          <w:b/>
          <w:noProof/>
          <w:sz w:val="28"/>
          <w:szCs w:val="28"/>
        </w:rPr>
      </w:pPr>
      <w:bookmarkStart w:id="3" w:name="_Toc339459943"/>
      <w:r w:rsidRPr="00F301FB">
        <w:rPr>
          <w:rFonts w:cs="Arial"/>
          <w:b/>
          <w:noProof/>
          <w:sz w:val="28"/>
          <w:szCs w:val="28"/>
        </w:rPr>
        <w:lastRenderedPageBreak/>
        <w:t>2.</w:t>
      </w:r>
      <w:r w:rsidRPr="00F301FB">
        <w:rPr>
          <w:rFonts w:cs="Arial"/>
          <w:b/>
          <w:sz w:val="28"/>
          <w:szCs w:val="28"/>
        </w:rPr>
        <w:t>1</w:t>
      </w:r>
      <w:r w:rsidR="003B447E">
        <w:rPr>
          <w:rFonts w:cs="Arial"/>
          <w:b/>
          <w:sz w:val="28"/>
          <w:szCs w:val="28"/>
        </w:rPr>
        <w:t xml:space="preserve"> </w:t>
      </w:r>
      <w:r w:rsidRPr="00F301FB">
        <w:rPr>
          <w:rFonts w:cs="Arial"/>
          <w:b/>
          <w:sz w:val="28"/>
          <w:szCs w:val="28"/>
        </w:rPr>
        <w:t>C</w:t>
      </w:r>
      <w:r w:rsidRPr="00F301FB">
        <w:rPr>
          <w:rFonts w:cs="Arial"/>
          <w:b/>
          <w:noProof/>
          <w:sz w:val="28"/>
          <w:szCs w:val="28"/>
        </w:rPr>
        <w:t xml:space="preserve">apital </w:t>
      </w:r>
      <w:r w:rsidR="002E4629" w:rsidRPr="00F301FB">
        <w:rPr>
          <w:rFonts w:cs="Arial"/>
          <w:b/>
          <w:noProof/>
          <w:sz w:val="28"/>
          <w:szCs w:val="28"/>
        </w:rPr>
        <w:t>P</w:t>
      </w:r>
      <w:r w:rsidRPr="00F301FB">
        <w:rPr>
          <w:rFonts w:cs="Arial"/>
          <w:b/>
          <w:noProof/>
          <w:sz w:val="28"/>
          <w:szCs w:val="28"/>
        </w:rPr>
        <w:t>rogramme</w:t>
      </w:r>
      <w:bookmarkEnd w:id="3"/>
      <w:r w:rsidRPr="00F301FB">
        <w:rPr>
          <w:rFonts w:cs="Arial"/>
          <w:b/>
          <w:noProof/>
          <w:sz w:val="28"/>
          <w:szCs w:val="28"/>
        </w:rPr>
        <w:t xml:space="preserve"> and </w:t>
      </w:r>
      <w:r w:rsidR="00F76E59" w:rsidRPr="00F301FB">
        <w:rPr>
          <w:rFonts w:cs="Arial"/>
          <w:b/>
          <w:noProof/>
          <w:sz w:val="28"/>
          <w:szCs w:val="28"/>
        </w:rPr>
        <w:t xml:space="preserve">Capital </w:t>
      </w:r>
      <w:r w:rsidRPr="00F301FB">
        <w:rPr>
          <w:rFonts w:cs="Arial"/>
          <w:b/>
          <w:noProof/>
          <w:sz w:val="28"/>
          <w:szCs w:val="28"/>
        </w:rPr>
        <w:t>Prudential Indicators</w:t>
      </w:r>
      <w:r w:rsidR="00F76E59">
        <w:rPr>
          <w:rFonts w:cs="Arial"/>
          <w:b/>
          <w:noProof/>
          <w:sz w:val="28"/>
          <w:szCs w:val="28"/>
        </w:rPr>
        <w:t xml:space="preserve"> 201</w:t>
      </w:r>
      <w:r w:rsidR="006A116B">
        <w:rPr>
          <w:rFonts w:cs="Arial"/>
          <w:b/>
          <w:noProof/>
          <w:sz w:val="28"/>
          <w:szCs w:val="28"/>
        </w:rPr>
        <w:t>8</w:t>
      </w:r>
      <w:r w:rsidR="00F76E59">
        <w:rPr>
          <w:rFonts w:cs="Arial"/>
          <w:b/>
          <w:noProof/>
          <w:sz w:val="28"/>
          <w:szCs w:val="28"/>
        </w:rPr>
        <w:t>-1</w:t>
      </w:r>
      <w:r w:rsidR="006A116B">
        <w:rPr>
          <w:rFonts w:cs="Arial"/>
          <w:b/>
          <w:noProof/>
          <w:sz w:val="28"/>
          <w:szCs w:val="28"/>
        </w:rPr>
        <w:t>9</w:t>
      </w:r>
      <w:r w:rsidR="00F76E59">
        <w:rPr>
          <w:rFonts w:cs="Arial"/>
          <w:b/>
          <w:noProof/>
          <w:sz w:val="28"/>
          <w:szCs w:val="28"/>
        </w:rPr>
        <w:t xml:space="preserve"> to</w:t>
      </w:r>
      <w:r w:rsidR="003B447E">
        <w:rPr>
          <w:rFonts w:cs="Arial"/>
          <w:b/>
          <w:noProof/>
          <w:sz w:val="28"/>
          <w:szCs w:val="28"/>
        </w:rPr>
        <w:t xml:space="preserve"> </w:t>
      </w:r>
      <w:r w:rsidR="00F76E59">
        <w:rPr>
          <w:rFonts w:cs="Arial"/>
          <w:b/>
          <w:noProof/>
          <w:sz w:val="28"/>
          <w:szCs w:val="28"/>
        </w:rPr>
        <w:t>20-2</w:t>
      </w:r>
      <w:r w:rsidR="006A116B">
        <w:rPr>
          <w:rFonts w:cs="Arial"/>
          <w:b/>
          <w:noProof/>
          <w:sz w:val="28"/>
          <w:szCs w:val="28"/>
        </w:rPr>
        <w:t>1</w:t>
      </w:r>
    </w:p>
    <w:p w:rsidR="006C5AA5" w:rsidRDefault="00DA2B16" w:rsidP="00B93CA0">
      <w:pPr>
        <w:ind w:left="567" w:hanging="567"/>
        <w:jc w:val="both"/>
        <w:rPr>
          <w:rFonts w:cs="Arial"/>
          <w:szCs w:val="24"/>
        </w:rPr>
      </w:pPr>
      <w:r w:rsidRPr="00AD0E38">
        <w:rPr>
          <w:rFonts w:cs="Arial"/>
          <w:szCs w:val="24"/>
        </w:rPr>
        <w:t>2</w:t>
      </w:r>
      <w:r w:rsidR="00B32254">
        <w:rPr>
          <w:rFonts w:cs="Arial"/>
          <w:szCs w:val="24"/>
        </w:rPr>
        <w:t>3</w:t>
      </w:r>
      <w:r w:rsidRPr="00AD0E38">
        <w:rPr>
          <w:rFonts w:cs="Arial"/>
          <w:szCs w:val="24"/>
        </w:rPr>
        <w:t xml:space="preserve">. </w:t>
      </w:r>
      <w:r w:rsidR="008558A6" w:rsidRPr="00AD0E38">
        <w:rPr>
          <w:rFonts w:cs="Arial"/>
          <w:szCs w:val="24"/>
        </w:rPr>
        <w:tab/>
      </w:r>
      <w:r w:rsidRPr="00F301FB">
        <w:rPr>
          <w:rFonts w:cs="Arial"/>
          <w:szCs w:val="24"/>
        </w:rPr>
        <w:t>Th</w:t>
      </w:r>
      <w:r w:rsidR="00AE5243">
        <w:rPr>
          <w:rFonts w:cs="Arial"/>
          <w:szCs w:val="24"/>
        </w:rPr>
        <w:t>is</w:t>
      </w:r>
      <w:r w:rsidRPr="00AD0E38">
        <w:rPr>
          <w:rFonts w:cs="Arial"/>
          <w:szCs w:val="24"/>
        </w:rPr>
        <w:t xml:space="preserve"> </w:t>
      </w:r>
      <w:r w:rsidRPr="00F301FB">
        <w:rPr>
          <w:rFonts w:cs="Arial"/>
          <w:szCs w:val="24"/>
        </w:rPr>
        <w:t>prudential indicator is a summary of the Council’s capital expenditure based on the approved capital programme. Amendments may be necessary in the light of decisions taken during the budget cycle. The table below summarises the capital programme and the ways in which it will be financed. Any shortfall of resources results in a financing need.</w:t>
      </w:r>
      <w:r w:rsidRPr="00DA2B16">
        <w:rPr>
          <w:rFonts w:cs="Arial"/>
          <w:szCs w:val="24"/>
        </w:rPr>
        <w:t xml:space="preserve"> </w:t>
      </w:r>
    </w:p>
    <w:p w:rsidR="00133B17" w:rsidRDefault="00133B17" w:rsidP="00B93CA0">
      <w:pPr>
        <w:ind w:left="567" w:hanging="567"/>
        <w:jc w:val="both"/>
        <w:rPr>
          <w:rFonts w:cs="Arial"/>
          <w:b/>
          <w:bCs/>
          <w:highlight w:val="yellow"/>
        </w:rPr>
      </w:pPr>
    </w:p>
    <w:p w:rsidR="00E44A44" w:rsidRDefault="00DA2B16" w:rsidP="00DA2B16">
      <w:pPr>
        <w:jc w:val="both"/>
        <w:rPr>
          <w:rFonts w:cs="Arial"/>
          <w:b/>
          <w:bCs/>
        </w:rPr>
      </w:pPr>
      <w:r w:rsidRPr="00133B17">
        <w:rPr>
          <w:rFonts w:cs="Arial"/>
          <w:b/>
          <w:bCs/>
        </w:rPr>
        <w:t>Table 1 Capital Expenditure and Funding</w:t>
      </w:r>
      <w:r w:rsidR="00E76C3A" w:rsidRPr="00133B17">
        <w:rPr>
          <w:rFonts w:cs="Arial"/>
          <w:b/>
          <w:bCs/>
        </w:rPr>
        <w:t xml:space="preserve"> </w:t>
      </w:r>
    </w:p>
    <w:p w:rsidR="007F573B" w:rsidRPr="00133B17" w:rsidRDefault="007F573B" w:rsidP="00DA2B16">
      <w:pPr>
        <w:jc w:val="both"/>
        <w:rPr>
          <w:rFonts w:cs="Arial"/>
          <w:b/>
          <w:bCs/>
        </w:rPr>
      </w:pPr>
    </w:p>
    <w:p w:rsidR="0023342B" w:rsidRPr="006A116B" w:rsidRDefault="007F573B" w:rsidP="00DA2B16">
      <w:pPr>
        <w:jc w:val="both"/>
        <w:rPr>
          <w:rFonts w:cs="Arial"/>
          <w:b/>
          <w:bCs/>
          <w:highlight w:val="yellow"/>
        </w:rPr>
      </w:pPr>
      <w:r w:rsidRPr="007F573B">
        <w:rPr>
          <w:noProof/>
          <w:lang w:eastAsia="en-GB"/>
        </w:rPr>
        <w:drawing>
          <wp:inline distT="0" distB="0" distL="0" distR="0" wp14:anchorId="57212710" wp14:editId="2DE46230">
            <wp:extent cx="5276215" cy="2758899"/>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215" cy="2758899"/>
                    </a:xfrm>
                    <a:prstGeom prst="rect">
                      <a:avLst/>
                    </a:prstGeom>
                    <a:noFill/>
                    <a:ln>
                      <a:noFill/>
                    </a:ln>
                  </pic:spPr>
                </pic:pic>
              </a:graphicData>
            </a:graphic>
          </wp:inline>
        </w:drawing>
      </w:r>
    </w:p>
    <w:p w:rsidR="00E44A44" w:rsidRPr="006A116B" w:rsidRDefault="00E44A44" w:rsidP="00DA2B16">
      <w:pPr>
        <w:jc w:val="both"/>
        <w:rPr>
          <w:rFonts w:cs="Arial"/>
          <w:b/>
          <w:bCs/>
          <w:highlight w:val="yellow"/>
        </w:rPr>
      </w:pPr>
    </w:p>
    <w:p w:rsidR="00EC64FC" w:rsidRPr="00EC64FC" w:rsidRDefault="009C0428" w:rsidP="00DA2B16">
      <w:pPr>
        <w:jc w:val="both"/>
        <w:rPr>
          <w:rFonts w:cs="Arial"/>
          <w:bCs/>
        </w:rPr>
      </w:pPr>
      <w:r>
        <w:rPr>
          <w:rFonts w:cs="Arial"/>
          <w:bCs/>
        </w:rPr>
        <w:t>The figures above are draft as th</w:t>
      </w:r>
      <w:r w:rsidR="00EC64FC" w:rsidRPr="00872E23">
        <w:rPr>
          <w:rFonts w:cs="Arial"/>
          <w:bCs/>
        </w:rPr>
        <w:t xml:space="preserve">e capital programme overall is being agreed to </w:t>
      </w:r>
      <w:r w:rsidR="006A116B">
        <w:rPr>
          <w:rFonts w:cs="Arial"/>
          <w:bCs/>
        </w:rPr>
        <w:t>2020/21</w:t>
      </w:r>
      <w:r w:rsidR="00EC64FC" w:rsidRPr="00872E23">
        <w:rPr>
          <w:rFonts w:cs="Arial"/>
          <w:bCs/>
        </w:rPr>
        <w:t xml:space="preserve"> </w:t>
      </w:r>
      <w:r>
        <w:rPr>
          <w:rFonts w:cs="Arial"/>
          <w:bCs/>
        </w:rPr>
        <w:t>as part of the overall Budget at Cabinet in Febru</w:t>
      </w:r>
      <w:r w:rsidR="0029580F">
        <w:rPr>
          <w:rFonts w:cs="Arial"/>
          <w:bCs/>
        </w:rPr>
        <w:t>a</w:t>
      </w:r>
      <w:r>
        <w:rPr>
          <w:rFonts w:cs="Arial"/>
          <w:bCs/>
        </w:rPr>
        <w:t>ry 2018</w:t>
      </w:r>
      <w:r w:rsidR="0029580F">
        <w:rPr>
          <w:rFonts w:cs="Arial"/>
          <w:bCs/>
        </w:rPr>
        <w:t>.</w:t>
      </w:r>
    </w:p>
    <w:p w:rsidR="00DA2B16" w:rsidRPr="00F301FB" w:rsidRDefault="003630B9" w:rsidP="003630B9">
      <w:pPr>
        <w:spacing w:before="270" w:after="180"/>
        <w:jc w:val="both"/>
        <w:rPr>
          <w:rFonts w:cs="Arial"/>
          <w:b/>
          <w:noProof/>
          <w:sz w:val="28"/>
          <w:szCs w:val="28"/>
        </w:rPr>
      </w:pPr>
      <w:bookmarkStart w:id="4" w:name="_Toc339459944"/>
      <w:r>
        <w:rPr>
          <w:rFonts w:cs="Arial"/>
          <w:b/>
          <w:noProof/>
          <w:sz w:val="28"/>
          <w:szCs w:val="28"/>
        </w:rPr>
        <w:t xml:space="preserve">2.2 </w:t>
      </w:r>
      <w:r w:rsidR="00DA2B16" w:rsidRPr="00F301FB">
        <w:rPr>
          <w:rFonts w:cs="Arial"/>
          <w:b/>
          <w:noProof/>
          <w:sz w:val="28"/>
          <w:szCs w:val="28"/>
        </w:rPr>
        <w:t>Capital Financing Requirement</w:t>
      </w:r>
      <w:bookmarkEnd w:id="4"/>
    </w:p>
    <w:p w:rsidR="00DA2B16" w:rsidRPr="00F301FB" w:rsidRDefault="00DA2B16" w:rsidP="00DA2B16">
      <w:pPr>
        <w:spacing w:before="120" w:after="120"/>
        <w:ind w:left="561" w:hanging="561"/>
        <w:jc w:val="both"/>
        <w:rPr>
          <w:rFonts w:cs="Arial"/>
          <w:iCs/>
          <w:szCs w:val="24"/>
        </w:rPr>
      </w:pPr>
      <w:r w:rsidRPr="00F301FB">
        <w:rPr>
          <w:rFonts w:cs="Arial"/>
          <w:iCs/>
          <w:szCs w:val="24"/>
        </w:rPr>
        <w:t>2</w:t>
      </w:r>
      <w:r w:rsidR="00B32254">
        <w:rPr>
          <w:rFonts w:cs="Arial"/>
          <w:iCs/>
          <w:szCs w:val="24"/>
        </w:rPr>
        <w:t>4</w:t>
      </w:r>
      <w:r w:rsidRPr="00F301FB">
        <w:rPr>
          <w:rFonts w:cs="Arial"/>
          <w:iCs/>
          <w:szCs w:val="24"/>
        </w:rPr>
        <w:t>.</w:t>
      </w:r>
      <w:r w:rsidR="003630B9">
        <w:rPr>
          <w:rFonts w:cs="Arial"/>
          <w:iCs/>
          <w:szCs w:val="24"/>
        </w:rPr>
        <w:tab/>
      </w:r>
      <w:r w:rsidRPr="00F301FB">
        <w:rPr>
          <w:rFonts w:cs="Arial"/>
          <w:iCs/>
          <w:szCs w:val="24"/>
        </w:rPr>
        <w:t>Th</w:t>
      </w:r>
      <w:r w:rsidR="0091505E">
        <w:rPr>
          <w:rFonts w:cs="Arial"/>
          <w:iCs/>
          <w:szCs w:val="24"/>
        </w:rPr>
        <w:t>e</w:t>
      </w:r>
      <w:r w:rsidRPr="00F301FB">
        <w:rPr>
          <w:rFonts w:cs="Arial"/>
          <w:iCs/>
          <w:szCs w:val="24"/>
        </w:rPr>
        <w:t xml:space="preserve"> Capital Financing Requirement (CFR) is the total outstanding capital expenditure which has not yet been paid for from either revenue or capital resources. It is essentially a measure of the Council’s underlying borrowing need. Any new capital expenditure, which has not immediately been p</w:t>
      </w:r>
      <w:r w:rsidR="003630B9">
        <w:rPr>
          <w:rFonts w:cs="Arial"/>
          <w:iCs/>
          <w:szCs w:val="24"/>
        </w:rPr>
        <w:t>aid for, will increase the CFR.</w:t>
      </w:r>
    </w:p>
    <w:p w:rsidR="00DA2B16" w:rsidRPr="003A45C2" w:rsidRDefault="00DA2B16" w:rsidP="00DA2B16">
      <w:pPr>
        <w:spacing w:before="120" w:after="120"/>
        <w:ind w:left="561" w:hanging="561"/>
        <w:jc w:val="both"/>
        <w:rPr>
          <w:rFonts w:cs="Arial"/>
          <w:iCs/>
          <w:szCs w:val="24"/>
        </w:rPr>
      </w:pPr>
      <w:r w:rsidRPr="00F301FB">
        <w:rPr>
          <w:rFonts w:cs="Arial"/>
          <w:iCs/>
          <w:szCs w:val="24"/>
        </w:rPr>
        <w:t>2</w:t>
      </w:r>
      <w:r w:rsidR="00B32254">
        <w:rPr>
          <w:rFonts w:cs="Arial"/>
          <w:iCs/>
          <w:szCs w:val="24"/>
        </w:rPr>
        <w:t>5</w:t>
      </w:r>
      <w:r w:rsidRPr="00F301FB">
        <w:rPr>
          <w:rFonts w:cs="Arial"/>
          <w:iCs/>
          <w:szCs w:val="24"/>
        </w:rPr>
        <w:t>.</w:t>
      </w:r>
      <w:r w:rsidR="003630B9">
        <w:rPr>
          <w:rFonts w:cs="Arial"/>
          <w:iCs/>
          <w:szCs w:val="24"/>
        </w:rPr>
        <w:tab/>
      </w:r>
      <w:r w:rsidRPr="00F301FB">
        <w:rPr>
          <w:rFonts w:cs="Arial"/>
          <w:iCs/>
          <w:szCs w:val="24"/>
        </w:rPr>
        <w:t xml:space="preserve">The CFR does not increase indefinitely, as the MRP is a statutory annual revenue charge which broadly reduces the borrowing need in line </w:t>
      </w:r>
      <w:r w:rsidRPr="003A45C2">
        <w:rPr>
          <w:rFonts w:cs="Arial"/>
          <w:iCs/>
          <w:szCs w:val="24"/>
        </w:rPr>
        <w:t>with each asset’s life.</w:t>
      </w:r>
    </w:p>
    <w:p w:rsidR="00DA2B16" w:rsidRDefault="00DA2B16" w:rsidP="00DA2B16">
      <w:pPr>
        <w:spacing w:before="120" w:after="120"/>
        <w:ind w:left="561" w:hanging="561"/>
        <w:jc w:val="both"/>
        <w:rPr>
          <w:rFonts w:cs="Arial"/>
          <w:iCs/>
          <w:color w:val="000000"/>
          <w:szCs w:val="24"/>
        </w:rPr>
      </w:pPr>
      <w:r w:rsidRPr="003A45C2">
        <w:rPr>
          <w:rFonts w:cs="Arial"/>
          <w:iCs/>
          <w:color w:val="000000"/>
          <w:szCs w:val="24"/>
        </w:rPr>
        <w:t>2</w:t>
      </w:r>
      <w:r w:rsidR="00B32254">
        <w:rPr>
          <w:rFonts w:cs="Arial"/>
          <w:iCs/>
          <w:color w:val="000000"/>
          <w:szCs w:val="24"/>
        </w:rPr>
        <w:t>6</w:t>
      </w:r>
      <w:r w:rsidRPr="003A45C2">
        <w:rPr>
          <w:rFonts w:cs="Arial"/>
          <w:iCs/>
          <w:color w:val="000000"/>
          <w:szCs w:val="24"/>
        </w:rPr>
        <w:t>.</w:t>
      </w:r>
      <w:r w:rsidR="003630B9">
        <w:rPr>
          <w:rFonts w:cs="Arial"/>
          <w:iCs/>
          <w:color w:val="000000"/>
          <w:szCs w:val="24"/>
        </w:rPr>
        <w:tab/>
      </w:r>
      <w:r w:rsidRPr="003A45C2">
        <w:rPr>
          <w:rFonts w:cs="Arial"/>
          <w:iCs/>
          <w:color w:val="000000"/>
          <w:szCs w:val="24"/>
        </w:rPr>
        <w:t>The CFR includes any other long term liabilities (</w:t>
      </w:r>
      <w:r w:rsidRPr="00F301FB">
        <w:rPr>
          <w:rFonts w:cs="Arial"/>
          <w:iCs/>
          <w:color w:val="000000"/>
          <w:szCs w:val="24"/>
        </w:rPr>
        <w:t>e.g</w:t>
      </w:r>
      <w:r w:rsidRPr="00DA2B16">
        <w:rPr>
          <w:rFonts w:cs="Arial"/>
          <w:iCs/>
          <w:color w:val="000000"/>
          <w:szCs w:val="24"/>
        </w:rPr>
        <w:t xml:space="preserve">. </w:t>
      </w:r>
      <w:r w:rsidRPr="00F301FB">
        <w:rPr>
          <w:rFonts w:cs="Arial"/>
          <w:iCs/>
          <w:color w:val="000000"/>
          <w:szCs w:val="24"/>
        </w:rPr>
        <w:t>finance leases). Whilst these increase the CFR, and therefore the Council’s borrowing requirement, these types of scheme include a funding facility and so the Council is not required to borrow separately for them. The Council currently has</w:t>
      </w:r>
      <w:r w:rsidRPr="00DA2B16">
        <w:rPr>
          <w:rFonts w:cs="Arial"/>
          <w:iCs/>
          <w:color w:val="000000"/>
          <w:szCs w:val="24"/>
        </w:rPr>
        <w:t xml:space="preserve"> </w:t>
      </w:r>
      <w:r w:rsidRPr="00133B17">
        <w:rPr>
          <w:rFonts w:cs="Arial"/>
          <w:iCs/>
          <w:color w:val="000000"/>
          <w:szCs w:val="24"/>
        </w:rPr>
        <w:t>£</w:t>
      </w:r>
      <w:r w:rsidR="008758E4" w:rsidRPr="00133B17">
        <w:rPr>
          <w:rFonts w:cs="Arial"/>
          <w:iCs/>
          <w:color w:val="000000"/>
          <w:szCs w:val="24"/>
        </w:rPr>
        <w:t>16m</w:t>
      </w:r>
      <w:r w:rsidR="008758E4" w:rsidRPr="00DA2B16">
        <w:rPr>
          <w:rFonts w:cs="Arial"/>
          <w:iCs/>
          <w:color w:val="000000"/>
          <w:szCs w:val="24"/>
        </w:rPr>
        <w:t xml:space="preserve"> </w:t>
      </w:r>
      <w:r w:rsidRPr="00F301FB">
        <w:rPr>
          <w:rFonts w:cs="Arial"/>
          <w:iCs/>
          <w:color w:val="000000"/>
          <w:szCs w:val="24"/>
        </w:rPr>
        <w:t>of such schemes within the CFR.</w:t>
      </w:r>
    </w:p>
    <w:p w:rsidR="007E32F7" w:rsidRDefault="007E32F7" w:rsidP="00DA2B16">
      <w:pPr>
        <w:spacing w:before="120" w:after="120"/>
        <w:ind w:left="561" w:hanging="561"/>
        <w:jc w:val="both"/>
        <w:rPr>
          <w:rFonts w:cs="Arial"/>
          <w:iCs/>
          <w:color w:val="000000"/>
          <w:szCs w:val="24"/>
        </w:rPr>
      </w:pPr>
    </w:p>
    <w:p w:rsidR="007E32F7" w:rsidRDefault="007E32F7" w:rsidP="00DA2B16">
      <w:pPr>
        <w:spacing w:before="120" w:after="120"/>
        <w:ind w:left="561" w:hanging="561"/>
        <w:jc w:val="both"/>
        <w:rPr>
          <w:rFonts w:cs="Arial"/>
          <w:iCs/>
          <w:color w:val="000000"/>
          <w:szCs w:val="24"/>
        </w:rPr>
      </w:pPr>
    </w:p>
    <w:p w:rsidR="007E32F7" w:rsidRDefault="007E32F7" w:rsidP="00DA2B16">
      <w:pPr>
        <w:spacing w:before="120" w:after="120"/>
        <w:ind w:left="561" w:hanging="561"/>
        <w:jc w:val="both"/>
        <w:rPr>
          <w:rFonts w:cs="Arial"/>
          <w:iCs/>
          <w:color w:val="000000"/>
          <w:szCs w:val="24"/>
        </w:rPr>
      </w:pPr>
    </w:p>
    <w:p w:rsidR="007E32F7" w:rsidRPr="00F301FB" w:rsidRDefault="007E32F7" w:rsidP="00DA2B16">
      <w:pPr>
        <w:spacing w:before="120" w:after="120"/>
        <w:ind w:left="561" w:hanging="561"/>
        <w:jc w:val="both"/>
        <w:rPr>
          <w:rFonts w:cs="Arial"/>
          <w:iCs/>
          <w:color w:val="000000"/>
          <w:szCs w:val="24"/>
        </w:rPr>
      </w:pPr>
    </w:p>
    <w:p w:rsidR="008558A6" w:rsidRDefault="00DA2B16" w:rsidP="00FC0A53">
      <w:pPr>
        <w:spacing w:before="120" w:after="120"/>
        <w:ind w:left="561" w:hanging="561"/>
        <w:jc w:val="both"/>
        <w:rPr>
          <w:rFonts w:cs="Arial"/>
          <w:iCs/>
          <w:color w:val="000000"/>
          <w:szCs w:val="24"/>
        </w:rPr>
      </w:pPr>
      <w:r w:rsidRPr="00F301FB">
        <w:rPr>
          <w:rFonts w:cs="Arial"/>
          <w:iCs/>
          <w:color w:val="000000"/>
          <w:szCs w:val="24"/>
        </w:rPr>
        <w:lastRenderedPageBreak/>
        <w:t>2</w:t>
      </w:r>
      <w:r w:rsidR="00B32254">
        <w:rPr>
          <w:rFonts w:cs="Arial"/>
          <w:iCs/>
          <w:color w:val="000000"/>
          <w:szCs w:val="24"/>
        </w:rPr>
        <w:t>7</w:t>
      </w:r>
      <w:r w:rsidRPr="00F301FB">
        <w:rPr>
          <w:rFonts w:cs="Arial"/>
          <w:iCs/>
          <w:color w:val="000000"/>
          <w:szCs w:val="24"/>
        </w:rPr>
        <w:t>.</w:t>
      </w:r>
      <w:r w:rsidR="003630B9">
        <w:rPr>
          <w:rFonts w:cs="Arial"/>
          <w:iCs/>
          <w:color w:val="000000"/>
          <w:szCs w:val="24"/>
        </w:rPr>
        <w:tab/>
      </w:r>
      <w:r w:rsidRPr="00F301FB">
        <w:rPr>
          <w:rFonts w:cs="Arial"/>
          <w:iCs/>
          <w:color w:val="000000"/>
          <w:szCs w:val="24"/>
        </w:rPr>
        <w:t>CFR projections are included in the table below.</w:t>
      </w:r>
    </w:p>
    <w:p w:rsidR="007E32F7" w:rsidRDefault="007E32F7" w:rsidP="00DA2B16">
      <w:pPr>
        <w:ind w:left="374" w:hanging="374"/>
        <w:jc w:val="both"/>
        <w:rPr>
          <w:rFonts w:cs="Arial"/>
          <w:b/>
          <w:bCs/>
          <w:szCs w:val="24"/>
        </w:rPr>
      </w:pPr>
    </w:p>
    <w:p w:rsidR="00DA2B16" w:rsidRPr="00133B17" w:rsidRDefault="00DA2B16" w:rsidP="00DA2B16">
      <w:pPr>
        <w:ind w:left="374" w:hanging="374"/>
        <w:jc w:val="both"/>
        <w:rPr>
          <w:rFonts w:cs="Arial"/>
          <w:b/>
          <w:bCs/>
          <w:szCs w:val="24"/>
        </w:rPr>
      </w:pPr>
      <w:r w:rsidRPr="00133B17">
        <w:rPr>
          <w:rFonts w:cs="Arial"/>
          <w:b/>
          <w:bCs/>
          <w:szCs w:val="24"/>
        </w:rPr>
        <w:t>Table 2 Capital Financing Requirement</w:t>
      </w:r>
    </w:p>
    <w:p w:rsidR="00E44A44" w:rsidRDefault="00E44A44" w:rsidP="00DA2B16">
      <w:pPr>
        <w:ind w:left="374" w:hanging="374"/>
        <w:jc w:val="both"/>
        <w:rPr>
          <w:rFonts w:cs="Arial"/>
          <w:b/>
          <w:bCs/>
          <w:szCs w:val="24"/>
        </w:rPr>
      </w:pPr>
    </w:p>
    <w:p w:rsidR="00E44A44" w:rsidRDefault="00B856E4" w:rsidP="00DA2B16">
      <w:pPr>
        <w:ind w:left="374" w:hanging="374"/>
        <w:jc w:val="both"/>
      </w:pPr>
      <w:r w:rsidRPr="00B856E4">
        <w:rPr>
          <w:noProof/>
          <w:lang w:eastAsia="en-GB"/>
        </w:rPr>
        <w:drawing>
          <wp:inline distT="0" distB="0" distL="0" distR="0" wp14:anchorId="7C1BA75A" wp14:editId="4BF01A56">
            <wp:extent cx="5276215" cy="2147059"/>
            <wp:effectExtent l="0" t="0" r="63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215" cy="2147059"/>
                    </a:xfrm>
                    <a:prstGeom prst="rect">
                      <a:avLst/>
                    </a:prstGeom>
                    <a:noFill/>
                    <a:ln>
                      <a:noFill/>
                    </a:ln>
                  </pic:spPr>
                </pic:pic>
              </a:graphicData>
            </a:graphic>
          </wp:inline>
        </w:drawing>
      </w:r>
    </w:p>
    <w:p w:rsidR="006C60F3" w:rsidRDefault="006C60F3" w:rsidP="00DA2B16">
      <w:pPr>
        <w:ind w:left="374" w:hanging="374"/>
        <w:jc w:val="both"/>
        <w:rPr>
          <w:rFonts w:cs="Arial"/>
          <w:b/>
          <w:bCs/>
          <w:szCs w:val="24"/>
        </w:rPr>
      </w:pPr>
    </w:p>
    <w:p w:rsidR="00E44A44" w:rsidRDefault="00E44A44" w:rsidP="00DA2B16">
      <w:pPr>
        <w:ind w:left="374" w:hanging="374"/>
        <w:jc w:val="both"/>
        <w:rPr>
          <w:rFonts w:cs="Arial"/>
          <w:b/>
          <w:bCs/>
          <w:szCs w:val="24"/>
        </w:rPr>
      </w:pPr>
    </w:p>
    <w:p w:rsidR="00DA2B16" w:rsidRPr="00F301FB" w:rsidRDefault="00DA2B16" w:rsidP="00B87B7B">
      <w:pPr>
        <w:jc w:val="both"/>
        <w:rPr>
          <w:rFonts w:cs="Arial"/>
          <w:bCs/>
          <w:szCs w:val="24"/>
        </w:rPr>
      </w:pPr>
      <w:r w:rsidRPr="00B87B7B">
        <w:rPr>
          <w:rFonts w:cs="Arial"/>
          <w:bCs/>
          <w:szCs w:val="24"/>
        </w:rPr>
        <w:t xml:space="preserve">The Non-HRA CFR increases over the five years from </w:t>
      </w:r>
      <w:r w:rsidRPr="00133B17">
        <w:rPr>
          <w:rFonts w:cs="Arial"/>
          <w:bCs/>
          <w:szCs w:val="24"/>
        </w:rPr>
        <w:t>£</w:t>
      </w:r>
      <w:r w:rsidR="009C0428">
        <w:rPr>
          <w:rFonts w:cs="Arial"/>
          <w:bCs/>
          <w:szCs w:val="24"/>
        </w:rPr>
        <w:t>32</w:t>
      </w:r>
      <w:r w:rsidR="00637E1F">
        <w:rPr>
          <w:rFonts w:cs="Arial"/>
          <w:bCs/>
          <w:szCs w:val="24"/>
        </w:rPr>
        <w:t>9</w:t>
      </w:r>
      <w:r w:rsidR="00EF51F5" w:rsidRPr="00133B17">
        <w:rPr>
          <w:rFonts w:cs="Arial"/>
          <w:bCs/>
          <w:szCs w:val="24"/>
        </w:rPr>
        <w:t xml:space="preserve">m </w:t>
      </w:r>
      <w:r w:rsidRPr="00133B17">
        <w:rPr>
          <w:rFonts w:cs="Arial"/>
          <w:bCs/>
          <w:szCs w:val="24"/>
        </w:rPr>
        <w:t>to £</w:t>
      </w:r>
      <w:r w:rsidR="009C0428">
        <w:rPr>
          <w:rFonts w:cs="Arial"/>
          <w:bCs/>
          <w:szCs w:val="24"/>
        </w:rPr>
        <w:t>594</w:t>
      </w:r>
      <w:r w:rsidR="00EF51F5" w:rsidRPr="00133B17">
        <w:rPr>
          <w:rFonts w:cs="Arial"/>
          <w:bCs/>
          <w:szCs w:val="24"/>
        </w:rPr>
        <w:t>m</w:t>
      </w:r>
      <w:r w:rsidR="00EF51F5" w:rsidRPr="00B87B7B">
        <w:rPr>
          <w:rFonts w:cs="Arial"/>
          <w:bCs/>
          <w:szCs w:val="24"/>
        </w:rPr>
        <w:t xml:space="preserve"> </w:t>
      </w:r>
      <w:r w:rsidRPr="00B87B7B">
        <w:rPr>
          <w:rFonts w:cs="Arial"/>
          <w:bCs/>
          <w:szCs w:val="24"/>
        </w:rPr>
        <w:t>reflecting the  regeneration programme,</w:t>
      </w:r>
      <w:r w:rsidR="000217A1" w:rsidRPr="00B87B7B">
        <w:rPr>
          <w:rFonts w:cs="Arial"/>
          <w:bCs/>
          <w:szCs w:val="24"/>
        </w:rPr>
        <w:t xml:space="preserve"> the property investment portfolio,</w:t>
      </w:r>
      <w:r w:rsidR="009D07FE">
        <w:rPr>
          <w:rFonts w:cs="Arial"/>
          <w:bCs/>
          <w:szCs w:val="24"/>
        </w:rPr>
        <w:t xml:space="preserve"> secondary school expansion,</w:t>
      </w:r>
      <w:r w:rsidR="000217A1" w:rsidRPr="00B87B7B">
        <w:rPr>
          <w:rFonts w:cs="Arial"/>
          <w:bCs/>
          <w:szCs w:val="24"/>
        </w:rPr>
        <w:t xml:space="preserve"> </w:t>
      </w:r>
      <w:r w:rsidRPr="00B87B7B">
        <w:rPr>
          <w:rFonts w:cs="Arial"/>
          <w:bCs/>
          <w:szCs w:val="24"/>
        </w:rPr>
        <w:t>the</w:t>
      </w:r>
      <w:r w:rsidR="001E2759" w:rsidRPr="00B87B7B">
        <w:rPr>
          <w:rFonts w:cs="Arial"/>
          <w:bCs/>
          <w:szCs w:val="24"/>
        </w:rPr>
        <w:t xml:space="preserve"> redevelopment of the depot,</w:t>
      </w:r>
      <w:r w:rsidRPr="00B87B7B">
        <w:rPr>
          <w:rFonts w:cs="Arial"/>
          <w:bCs/>
          <w:szCs w:val="24"/>
        </w:rPr>
        <w:t xml:space="preserve"> the renewal and replacement of highways, footways and streetlighting and upgrades and enhancements to ICT systems. </w:t>
      </w:r>
      <w:r w:rsidRPr="006D5DA7">
        <w:rPr>
          <w:rFonts w:cs="Arial"/>
          <w:bCs/>
          <w:szCs w:val="24"/>
        </w:rPr>
        <w:t>Through a special determination the debt limit for the HRA has been increased to £154.</w:t>
      </w:r>
      <w:r w:rsidR="001E2759" w:rsidRPr="006D5DA7">
        <w:rPr>
          <w:rFonts w:cs="Arial"/>
          <w:bCs/>
          <w:szCs w:val="24"/>
        </w:rPr>
        <w:t>7</w:t>
      </w:r>
      <w:r w:rsidRPr="006D5DA7">
        <w:rPr>
          <w:rFonts w:cs="Arial"/>
          <w:bCs/>
          <w:szCs w:val="24"/>
        </w:rPr>
        <w:t>m and work will be carried out in line with this increase.</w:t>
      </w:r>
    </w:p>
    <w:p w:rsidR="00DA2B16" w:rsidRPr="00F301FB" w:rsidRDefault="00DA2B16" w:rsidP="003630B9">
      <w:pPr>
        <w:ind w:left="567" w:hanging="374"/>
        <w:jc w:val="both"/>
        <w:rPr>
          <w:rFonts w:cs="Arial"/>
          <w:b/>
          <w:bCs/>
          <w:szCs w:val="24"/>
          <w:u w:val="single"/>
        </w:rPr>
      </w:pPr>
    </w:p>
    <w:p w:rsidR="00DA2B16" w:rsidRDefault="00DA2B16" w:rsidP="003630B9">
      <w:pPr>
        <w:keepNext/>
        <w:widowControl w:val="0"/>
        <w:tabs>
          <w:tab w:val="left" w:pos="0"/>
        </w:tabs>
        <w:ind w:left="360" w:hanging="360"/>
        <w:jc w:val="both"/>
        <w:rPr>
          <w:rFonts w:cs="Arial"/>
          <w:b/>
          <w:color w:val="000000"/>
          <w:sz w:val="28"/>
          <w:szCs w:val="28"/>
        </w:rPr>
      </w:pPr>
      <w:r w:rsidRPr="00F301FB">
        <w:rPr>
          <w:rFonts w:cs="Arial"/>
          <w:b/>
          <w:color w:val="000000"/>
          <w:sz w:val="28"/>
          <w:szCs w:val="28"/>
        </w:rPr>
        <w:t xml:space="preserve">2.3 Minimum Revenue Provision </w:t>
      </w:r>
      <w:r w:rsidR="00B87B7B">
        <w:rPr>
          <w:rFonts w:cs="Arial"/>
          <w:b/>
          <w:color w:val="000000"/>
          <w:sz w:val="28"/>
          <w:szCs w:val="28"/>
        </w:rPr>
        <w:t xml:space="preserve">(MRP) </w:t>
      </w:r>
      <w:r w:rsidRPr="00F301FB">
        <w:rPr>
          <w:rFonts w:cs="Arial"/>
          <w:b/>
          <w:color w:val="000000"/>
          <w:sz w:val="28"/>
          <w:szCs w:val="28"/>
        </w:rPr>
        <w:t>Policy</w:t>
      </w:r>
      <w:r w:rsidR="00F301FB" w:rsidRPr="00F301FB">
        <w:rPr>
          <w:rFonts w:cs="Arial"/>
          <w:b/>
          <w:color w:val="000000"/>
          <w:sz w:val="28"/>
          <w:szCs w:val="28"/>
        </w:rPr>
        <w:t xml:space="preserve"> Statement</w:t>
      </w:r>
    </w:p>
    <w:p w:rsidR="003630B9" w:rsidRPr="003630B9" w:rsidRDefault="003630B9" w:rsidP="003630B9">
      <w:pPr>
        <w:keepNext/>
        <w:widowControl w:val="0"/>
        <w:tabs>
          <w:tab w:val="left" w:pos="0"/>
          <w:tab w:val="left" w:pos="567"/>
        </w:tabs>
        <w:ind w:left="360" w:hanging="360"/>
        <w:jc w:val="both"/>
        <w:rPr>
          <w:rFonts w:cs="Arial"/>
          <w:b/>
          <w:color w:val="000000"/>
          <w:sz w:val="28"/>
          <w:szCs w:val="28"/>
        </w:rPr>
      </w:pPr>
    </w:p>
    <w:p w:rsidR="00DA2B16" w:rsidRPr="00F301FB" w:rsidRDefault="00DA2B16" w:rsidP="003630B9">
      <w:pPr>
        <w:ind w:left="567" w:hanging="567"/>
        <w:jc w:val="both"/>
        <w:rPr>
          <w:rFonts w:cs="Arial"/>
          <w:bCs/>
          <w:szCs w:val="24"/>
        </w:rPr>
      </w:pPr>
      <w:r w:rsidRPr="00F301FB">
        <w:rPr>
          <w:rFonts w:cs="Arial"/>
          <w:bCs/>
          <w:szCs w:val="24"/>
        </w:rPr>
        <w:t>2</w:t>
      </w:r>
      <w:r w:rsidR="00DE2968">
        <w:rPr>
          <w:rFonts w:cs="Arial"/>
          <w:bCs/>
          <w:szCs w:val="24"/>
        </w:rPr>
        <w:t>8</w:t>
      </w:r>
      <w:r w:rsidRPr="00F301FB">
        <w:rPr>
          <w:rFonts w:cs="Arial"/>
          <w:bCs/>
          <w:szCs w:val="24"/>
        </w:rPr>
        <w:t>.</w:t>
      </w:r>
      <w:r w:rsidR="003630B9">
        <w:rPr>
          <w:rFonts w:cs="Arial"/>
          <w:bCs/>
          <w:szCs w:val="24"/>
        </w:rPr>
        <w:tab/>
      </w:r>
      <w:r w:rsidRPr="00F301FB">
        <w:rPr>
          <w:rFonts w:cs="Arial"/>
          <w:bCs/>
          <w:szCs w:val="24"/>
        </w:rPr>
        <w:t xml:space="preserve">Capital expenditure is generally defined as expenditure on assets that have a life expectancy of more than one year e.g. buildings, vehicles, machinery etc. </w:t>
      </w:r>
      <w:r w:rsidRPr="00F301FB">
        <w:rPr>
          <w:rFonts w:cs="Arial"/>
          <w:bCs/>
          <w:szCs w:val="24"/>
          <w:lang w:val="en-US"/>
        </w:rPr>
        <w:t>The accounting approach is to spread the cost over the estimated useful life of the asset. The mechanism for spreading these costs is through an annual MRP. The MRP is the means by which capital expenditure, which is financed by borrowing or credit arrangements, is funded by Council Tax</w:t>
      </w:r>
      <w:r w:rsidR="00A02308" w:rsidRPr="00F301FB">
        <w:rPr>
          <w:rFonts w:cs="Arial"/>
          <w:bCs/>
          <w:szCs w:val="24"/>
          <w:lang w:val="en-US"/>
        </w:rPr>
        <w:t>.</w:t>
      </w:r>
      <w:r w:rsidRPr="00F301FB">
        <w:rPr>
          <w:rFonts w:cs="Arial"/>
          <w:bCs/>
          <w:szCs w:val="24"/>
          <w:lang w:val="en-US"/>
        </w:rPr>
        <w:t xml:space="preserve"> </w:t>
      </w:r>
    </w:p>
    <w:p w:rsidR="00DA2B16" w:rsidRPr="00F301FB" w:rsidRDefault="00DA2B16" w:rsidP="00DA2B16">
      <w:pPr>
        <w:autoSpaceDE w:val="0"/>
        <w:autoSpaceDN w:val="0"/>
        <w:adjustRightInd w:val="0"/>
        <w:ind w:left="426" w:hanging="426"/>
        <w:rPr>
          <w:rFonts w:eastAsia="Calibri" w:cs="Arial"/>
          <w:szCs w:val="24"/>
          <w:lang w:eastAsia="en-GB"/>
        </w:rPr>
      </w:pPr>
    </w:p>
    <w:p w:rsidR="00DA2B16" w:rsidRPr="00F301FB" w:rsidRDefault="00B32254" w:rsidP="003630B9">
      <w:pPr>
        <w:autoSpaceDE w:val="0"/>
        <w:autoSpaceDN w:val="0"/>
        <w:adjustRightInd w:val="0"/>
        <w:ind w:left="567" w:hanging="567"/>
        <w:jc w:val="both"/>
        <w:rPr>
          <w:rFonts w:cs="Arial"/>
          <w:bCs/>
          <w:szCs w:val="24"/>
        </w:rPr>
      </w:pPr>
      <w:r>
        <w:rPr>
          <w:rFonts w:eastAsia="Calibri" w:cs="Arial"/>
          <w:szCs w:val="24"/>
          <w:lang w:eastAsia="en-GB"/>
        </w:rPr>
        <w:t>29</w:t>
      </w:r>
      <w:r w:rsidR="00DA2B16" w:rsidRPr="00F301FB">
        <w:rPr>
          <w:rFonts w:eastAsia="Calibri" w:cs="Arial"/>
          <w:szCs w:val="24"/>
          <w:lang w:eastAsia="en-GB"/>
        </w:rPr>
        <w:t>.</w:t>
      </w:r>
      <w:r w:rsidR="003630B9">
        <w:rPr>
          <w:rFonts w:eastAsia="Calibri" w:cs="Arial"/>
          <w:szCs w:val="24"/>
          <w:lang w:eastAsia="en-GB"/>
        </w:rPr>
        <w:tab/>
      </w:r>
      <w:r w:rsidR="00907A06">
        <w:rPr>
          <w:rFonts w:eastAsia="Calibri" w:cs="Arial"/>
          <w:szCs w:val="24"/>
          <w:lang w:eastAsia="en-GB"/>
        </w:rPr>
        <w:t xml:space="preserve">Regulation 28 of </w:t>
      </w:r>
      <w:r w:rsidR="00706511">
        <w:rPr>
          <w:rFonts w:eastAsia="Calibri" w:cs="Arial"/>
          <w:szCs w:val="24"/>
          <w:lang w:eastAsia="en-GB"/>
        </w:rPr>
        <w:t>t</w:t>
      </w:r>
      <w:r w:rsidR="00DA2B16" w:rsidRPr="00F301FB">
        <w:rPr>
          <w:rFonts w:eastAsia="Calibri" w:cs="Arial"/>
          <w:szCs w:val="24"/>
          <w:lang w:eastAsia="en-GB"/>
        </w:rPr>
        <w:t>he Local Authorities (Capital Finance and Accounting) (England) Regulations 200</w:t>
      </w:r>
      <w:r w:rsidR="00706511">
        <w:rPr>
          <w:rFonts w:eastAsia="Calibri" w:cs="Arial"/>
          <w:szCs w:val="24"/>
          <w:lang w:eastAsia="en-GB"/>
        </w:rPr>
        <w:t>3</w:t>
      </w:r>
      <w:r w:rsidR="00DA2B16" w:rsidRPr="00F301FB">
        <w:rPr>
          <w:rFonts w:eastAsia="Calibri" w:cs="Arial"/>
          <w:szCs w:val="24"/>
          <w:lang w:eastAsia="en-GB"/>
        </w:rPr>
        <w:t xml:space="preserve"> </w:t>
      </w:r>
      <w:r w:rsidR="00706511">
        <w:rPr>
          <w:rFonts w:eastAsia="Calibri" w:cs="Arial"/>
          <w:szCs w:val="24"/>
          <w:lang w:eastAsia="en-GB"/>
        </w:rPr>
        <w:t xml:space="preserve">(as amended) </w:t>
      </w:r>
      <w:r w:rsidR="00DA2B16" w:rsidRPr="00F301FB">
        <w:rPr>
          <w:rFonts w:eastAsia="Calibri" w:cs="Arial"/>
          <w:szCs w:val="24"/>
          <w:lang w:eastAsia="en-GB"/>
        </w:rPr>
        <w:t xml:space="preserve"> require the Council to approve a</w:t>
      </w:r>
      <w:r w:rsidR="00B87B7B">
        <w:rPr>
          <w:rFonts w:eastAsia="Calibri" w:cs="Arial"/>
          <w:szCs w:val="24"/>
          <w:lang w:eastAsia="en-GB"/>
        </w:rPr>
        <w:t xml:space="preserve">n </w:t>
      </w:r>
      <w:r w:rsidR="00DA2B16" w:rsidRPr="00F301FB">
        <w:rPr>
          <w:rFonts w:eastAsia="Calibri" w:cs="Arial"/>
          <w:szCs w:val="24"/>
          <w:lang w:eastAsia="en-GB"/>
        </w:rPr>
        <w:t>MRP Statement setting out what provision is to be made in the General Fund for the repayment of debt, and how the provision is to be calculated. The purpose of the Statement is to ensure the provision is prudent, allowing the debt to be repaid over a period reasonably commensurate with that over which the capital expenditure benefits.</w:t>
      </w:r>
      <w:r w:rsidR="00DA2B16" w:rsidRPr="00F301FB">
        <w:rPr>
          <w:rFonts w:cs="Arial"/>
          <w:szCs w:val="24"/>
        </w:rPr>
        <w:t xml:space="preserve"> </w:t>
      </w:r>
      <w:r w:rsidR="00A02308" w:rsidRPr="00F301FB">
        <w:rPr>
          <w:rFonts w:cs="Arial"/>
          <w:szCs w:val="24"/>
        </w:rPr>
        <w:t xml:space="preserve">The Council is recommended </w:t>
      </w:r>
      <w:r w:rsidR="004D025B" w:rsidRPr="00F301FB">
        <w:rPr>
          <w:rFonts w:cs="Arial"/>
          <w:szCs w:val="24"/>
        </w:rPr>
        <w:t xml:space="preserve">to approve the </w:t>
      </w:r>
      <w:r w:rsidR="00683338" w:rsidRPr="00F301FB">
        <w:rPr>
          <w:rFonts w:cs="Arial"/>
          <w:szCs w:val="24"/>
        </w:rPr>
        <w:t xml:space="preserve">statement as detailed in Appendix </w:t>
      </w:r>
      <w:r w:rsidR="000E3F7E">
        <w:rPr>
          <w:rFonts w:cs="Arial"/>
          <w:szCs w:val="24"/>
        </w:rPr>
        <w:t>C.</w:t>
      </w:r>
    </w:p>
    <w:p w:rsidR="006C5AA5" w:rsidRDefault="006C5AA5" w:rsidP="003630B9">
      <w:pPr>
        <w:ind w:left="567" w:hanging="567"/>
        <w:jc w:val="both"/>
        <w:rPr>
          <w:rFonts w:cs="Arial"/>
          <w:bCs/>
          <w:szCs w:val="24"/>
        </w:rPr>
      </w:pPr>
    </w:p>
    <w:p w:rsidR="004D025B" w:rsidRDefault="004D025B" w:rsidP="003630B9">
      <w:pPr>
        <w:ind w:left="567" w:hanging="567"/>
        <w:jc w:val="both"/>
        <w:rPr>
          <w:rFonts w:cs="Arial"/>
          <w:bCs/>
          <w:szCs w:val="24"/>
        </w:rPr>
      </w:pPr>
      <w:r w:rsidRPr="00F301FB">
        <w:rPr>
          <w:rFonts w:cs="Arial"/>
          <w:bCs/>
          <w:szCs w:val="24"/>
        </w:rPr>
        <w:t>3</w:t>
      </w:r>
      <w:r w:rsidR="00B32254">
        <w:rPr>
          <w:rFonts w:cs="Arial"/>
          <w:bCs/>
          <w:szCs w:val="24"/>
        </w:rPr>
        <w:t>0</w:t>
      </w:r>
      <w:r w:rsidRPr="00F301FB">
        <w:rPr>
          <w:rFonts w:cs="Arial"/>
          <w:bCs/>
          <w:szCs w:val="24"/>
        </w:rPr>
        <w:t>.</w:t>
      </w:r>
      <w:r w:rsidR="003630B9">
        <w:rPr>
          <w:rFonts w:cs="Arial"/>
          <w:bCs/>
          <w:szCs w:val="24"/>
        </w:rPr>
        <w:tab/>
      </w:r>
      <w:r w:rsidRPr="00F301FB">
        <w:rPr>
          <w:rFonts w:cs="Arial"/>
          <w:bCs/>
          <w:szCs w:val="24"/>
        </w:rPr>
        <w:t>There is no requirement on the HRA to make a</w:t>
      </w:r>
      <w:r w:rsidR="00421497">
        <w:rPr>
          <w:rFonts w:cs="Arial"/>
          <w:bCs/>
          <w:szCs w:val="24"/>
        </w:rPr>
        <w:t xml:space="preserve"> minimum r</w:t>
      </w:r>
      <w:r w:rsidRPr="00F301FB">
        <w:rPr>
          <w:rFonts w:cs="Arial"/>
          <w:bCs/>
          <w:szCs w:val="24"/>
        </w:rPr>
        <w:t>evenue provision but there is a requirement for a charge for depreciation to be made.</w:t>
      </w:r>
    </w:p>
    <w:p w:rsidR="00502E20" w:rsidRDefault="00502E20" w:rsidP="004D025B">
      <w:pPr>
        <w:ind w:left="426" w:hanging="426"/>
        <w:jc w:val="both"/>
        <w:rPr>
          <w:rFonts w:cs="Arial"/>
          <w:bCs/>
          <w:szCs w:val="24"/>
        </w:rPr>
      </w:pPr>
    </w:p>
    <w:p w:rsidR="00502E20" w:rsidRPr="00F301FB" w:rsidRDefault="00502E20" w:rsidP="00421497">
      <w:pPr>
        <w:keepNext/>
        <w:widowControl w:val="0"/>
        <w:tabs>
          <w:tab w:val="left" w:pos="0"/>
        </w:tabs>
        <w:ind w:left="360" w:hanging="360"/>
        <w:jc w:val="both"/>
        <w:rPr>
          <w:rFonts w:cs="Arial"/>
          <w:b/>
          <w:color w:val="000000"/>
          <w:sz w:val="28"/>
          <w:szCs w:val="28"/>
        </w:rPr>
      </w:pPr>
      <w:r w:rsidRPr="00F301FB">
        <w:rPr>
          <w:rFonts w:cs="Arial"/>
          <w:b/>
          <w:color w:val="000000"/>
          <w:sz w:val="28"/>
          <w:szCs w:val="28"/>
        </w:rPr>
        <w:lastRenderedPageBreak/>
        <w:t>2.4. Core funds and expected investment balances</w:t>
      </w:r>
    </w:p>
    <w:p w:rsidR="00C1333E" w:rsidRDefault="00C1333E" w:rsidP="00502E20">
      <w:pPr>
        <w:keepNext/>
        <w:widowControl w:val="0"/>
        <w:tabs>
          <w:tab w:val="left" w:pos="0"/>
        </w:tabs>
        <w:ind w:left="360"/>
        <w:jc w:val="both"/>
        <w:rPr>
          <w:rFonts w:cs="Arial"/>
          <w:b/>
          <w:color w:val="000000"/>
          <w:sz w:val="28"/>
          <w:szCs w:val="28"/>
          <w:highlight w:val="green"/>
        </w:rPr>
      </w:pPr>
    </w:p>
    <w:p w:rsidR="003F37B2" w:rsidRDefault="00421497" w:rsidP="003630B9">
      <w:pPr>
        <w:keepNext/>
        <w:widowControl w:val="0"/>
        <w:tabs>
          <w:tab w:val="left" w:pos="0"/>
          <w:tab w:val="left" w:pos="567"/>
        </w:tabs>
        <w:ind w:left="567" w:hanging="567"/>
        <w:jc w:val="both"/>
        <w:rPr>
          <w:rFonts w:cs="Arial"/>
          <w:color w:val="000000"/>
          <w:szCs w:val="24"/>
        </w:rPr>
      </w:pPr>
      <w:r w:rsidRPr="0051393D">
        <w:rPr>
          <w:rFonts w:cs="Arial"/>
          <w:color w:val="000000"/>
          <w:szCs w:val="24"/>
        </w:rPr>
        <w:t>3</w:t>
      </w:r>
      <w:r w:rsidR="00B32254">
        <w:rPr>
          <w:rFonts w:cs="Arial"/>
          <w:color w:val="000000"/>
          <w:szCs w:val="24"/>
        </w:rPr>
        <w:t>1</w:t>
      </w:r>
      <w:r w:rsidRPr="0051393D">
        <w:rPr>
          <w:rFonts w:cs="Arial"/>
          <w:color w:val="000000"/>
          <w:szCs w:val="24"/>
        </w:rPr>
        <w:t>.</w:t>
      </w:r>
      <w:r w:rsidR="003630B9">
        <w:rPr>
          <w:rFonts w:cs="Arial"/>
          <w:color w:val="000000"/>
          <w:szCs w:val="24"/>
        </w:rPr>
        <w:tab/>
      </w:r>
      <w:r w:rsidR="00C1333E" w:rsidRPr="0051393D">
        <w:rPr>
          <w:rFonts w:cs="Arial"/>
          <w:color w:val="000000"/>
          <w:szCs w:val="24"/>
        </w:rPr>
        <w:t>The application of resources (grants, capital receipts etc.) to finance capital expenditure or budget decisions to support the revenue budget will have an ongoing impact on in</w:t>
      </w:r>
      <w:r w:rsidRPr="0051393D">
        <w:rPr>
          <w:rFonts w:cs="Arial"/>
          <w:color w:val="000000"/>
          <w:szCs w:val="24"/>
        </w:rPr>
        <w:t>v</w:t>
      </w:r>
      <w:r w:rsidR="00C1333E" w:rsidRPr="0051393D">
        <w:rPr>
          <w:rFonts w:cs="Arial"/>
          <w:color w:val="000000"/>
          <w:szCs w:val="24"/>
        </w:rPr>
        <w:t xml:space="preserve">estments unless resources are supplemented each year from new sources (asset sales etc.). </w:t>
      </w:r>
    </w:p>
    <w:p w:rsidR="00140C7F" w:rsidRDefault="00140C7F" w:rsidP="003630B9">
      <w:pPr>
        <w:keepNext/>
        <w:widowControl w:val="0"/>
        <w:tabs>
          <w:tab w:val="left" w:pos="0"/>
          <w:tab w:val="left" w:pos="567"/>
        </w:tabs>
        <w:ind w:left="567" w:hanging="567"/>
        <w:jc w:val="both"/>
        <w:rPr>
          <w:rFonts w:cs="Arial"/>
          <w:color w:val="000000"/>
          <w:szCs w:val="24"/>
        </w:rPr>
      </w:pPr>
    </w:p>
    <w:p w:rsidR="007E32F7" w:rsidRDefault="007E32F7" w:rsidP="003630B9">
      <w:pPr>
        <w:keepNext/>
        <w:widowControl w:val="0"/>
        <w:tabs>
          <w:tab w:val="left" w:pos="0"/>
          <w:tab w:val="left" w:pos="567"/>
        </w:tabs>
        <w:ind w:left="567" w:hanging="567"/>
        <w:jc w:val="both"/>
        <w:rPr>
          <w:rFonts w:cs="Arial"/>
          <w:color w:val="000000"/>
          <w:szCs w:val="24"/>
        </w:rPr>
      </w:pPr>
    </w:p>
    <w:p w:rsidR="00140C7F" w:rsidRPr="00133B17" w:rsidRDefault="00140C7F" w:rsidP="00140C7F">
      <w:pPr>
        <w:keepNext/>
        <w:widowControl w:val="0"/>
        <w:tabs>
          <w:tab w:val="left" w:pos="0"/>
        </w:tabs>
        <w:ind w:left="360" w:hanging="360"/>
        <w:jc w:val="both"/>
        <w:rPr>
          <w:rFonts w:cs="Arial"/>
          <w:b/>
          <w:szCs w:val="24"/>
        </w:rPr>
      </w:pPr>
      <w:r w:rsidRPr="00133B17">
        <w:rPr>
          <w:rFonts w:cs="Arial"/>
          <w:b/>
          <w:szCs w:val="24"/>
        </w:rPr>
        <w:t>Table 3 Core Funds and expected investment balances</w:t>
      </w:r>
    </w:p>
    <w:p w:rsidR="00140C7F" w:rsidRPr="006A116B" w:rsidRDefault="00140C7F" w:rsidP="00140C7F">
      <w:pPr>
        <w:keepNext/>
        <w:widowControl w:val="0"/>
        <w:tabs>
          <w:tab w:val="left" w:pos="0"/>
        </w:tabs>
        <w:ind w:left="360" w:hanging="360"/>
        <w:jc w:val="both"/>
        <w:rPr>
          <w:rFonts w:cs="Arial"/>
          <w:b/>
          <w:szCs w:val="24"/>
          <w:highlight w:val="yellow"/>
        </w:rPr>
      </w:pPr>
    </w:p>
    <w:p w:rsidR="00140C7F" w:rsidRPr="0051393D" w:rsidRDefault="004F5E06" w:rsidP="00140C7F">
      <w:pPr>
        <w:keepNext/>
        <w:widowControl w:val="0"/>
        <w:tabs>
          <w:tab w:val="left" w:pos="0"/>
          <w:tab w:val="left" w:pos="567"/>
        </w:tabs>
        <w:ind w:left="567" w:hanging="567"/>
        <w:jc w:val="both"/>
        <w:rPr>
          <w:rFonts w:cs="Arial"/>
          <w:color w:val="000000"/>
          <w:szCs w:val="24"/>
        </w:rPr>
      </w:pPr>
      <w:r w:rsidRPr="004F5E06">
        <w:rPr>
          <w:noProof/>
          <w:lang w:eastAsia="en-GB"/>
        </w:rPr>
        <w:drawing>
          <wp:inline distT="0" distB="0" distL="0" distR="0" wp14:anchorId="0C524369" wp14:editId="4AF0D2C2">
            <wp:extent cx="5276215" cy="2073198"/>
            <wp:effectExtent l="0" t="0" r="635"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215" cy="2073198"/>
                    </a:xfrm>
                    <a:prstGeom prst="rect">
                      <a:avLst/>
                    </a:prstGeom>
                    <a:noFill/>
                    <a:ln>
                      <a:noFill/>
                    </a:ln>
                  </pic:spPr>
                </pic:pic>
              </a:graphicData>
            </a:graphic>
          </wp:inline>
        </w:drawing>
      </w:r>
    </w:p>
    <w:p w:rsidR="003F37B2" w:rsidRDefault="003F37B2" w:rsidP="00502E20">
      <w:pPr>
        <w:keepNext/>
        <w:widowControl w:val="0"/>
        <w:tabs>
          <w:tab w:val="left" w:pos="0"/>
        </w:tabs>
        <w:ind w:left="360"/>
        <w:jc w:val="both"/>
        <w:rPr>
          <w:rFonts w:cs="Arial"/>
          <w:color w:val="000000"/>
          <w:szCs w:val="24"/>
          <w:highlight w:val="green"/>
        </w:rPr>
      </w:pPr>
    </w:p>
    <w:p w:rsidR="00C507E7" w:rsidRDefault="00C507E7" w:rsidP="00C507E7">
      <w:pPr>
        <w:keepNext/>
        <w:widowControl w:val="0"/>
        <w:tabs>
          <w:tab w:val="left" w:pos="0"/>
        </w:tabs>
        <w:ind w:left="567"/>
        <w:jc w:val="both"/>
        <w:rPr>
          <w:rFonts w:cs="Arial"/>
          <w:color w:val="000000"/>
          <w:szCs w:val="24"/>
        </w:rPr>
      </w:pPr>
      <w:r w:rsidRPr="00C507E7">
        <w:rPr>
          <w:rFonts w:cs="Arial"/>
          <w:color w:val="000000"/>
          <w:szCs w:val="24"/>
        </w:rPr>
        <w:t>The above table</w:t>
      </w:r>
      <w:r>
        <w:rPr>
          <w:rFonts w:cs="Arial"/>
          <w:color w:val="000000"/>
          <w:szCs w:val="24"/>
        </w:rPr>
        <w:t xml:space="preserve"> assumes that expected investment balance will be kept at approximately £30m and that the working capital and borrowing position will be managed to effect this. </w:t>
      </w:r>
    </w:p>
    <w:p w:rsidR="007E32F7" w:rsidRDefault="007E32F7" w:rsidP="00C507E7">
      <w:pPr>
        <w:keepNext/>
        <w:widowControl w:val="0"/>
        <w:tabs>
          <w:tab w:val="left" w:pos="0"/>
        </w:tabs>
        <w:ind w:left="567"/>
        <w:jc w:val="both"/>
        <w:rPr>
          <w:rFonts w:cs="Arial"/>
          <w:color w:val="000000"/>
          <w:szCs w:val="24"/>
        </w:rPr>
      </w:pPr>
    </w:p>
    <w:p w:rsidR="0056030D" w:rsidRPr="00C507E7" w:rsidRDefault="00C507E7" w:rsidP="00C507E7">
      <w:pPr>
        <w:keepNext/>
        <w:widowControl w:val="0"/>
        <w:tabs>
          <w:tab w:val="left" w:pos="0"/>
        </w:tabs>
        <w:ind w:left="567"/>
        <w:jc w:val="both"/>
        <w:rPr>
          <w:rFonts w:cs="Arial"/>
          <w:color w:val="000000"/>
          <w:szCs w:val="24"/>
        </w:rPr>
      </w:pPr>
      <w:r w:rsidRPr="00C507E7">
        <w:rPr>
          <w:rFonts w:cs="Arial"/>
          <w:color w:val="000000"/>
          <w:szCs w:val="24"/>
        </w:rPr>
        <w:t xml:space="preserve"> </w:t>
      </w:r>
    </w:p>
    <w:p w:rsidR="00DA2B16" w:rsidRPr="00F53D03" w:rsidRDefault="00DA2B16" w:rsidP="00DA2B16">
      <w:pPr>
        <w:rPr>
          <w:rFonts w:cs="Arial"/>
          <w:b/>
          <w:sz w:val="32"/>
          <w:szCs w:val="32"/>
        </w:rPr>
      </w:pPr>
      <w:r w:rsidRPr="00F53D03">
        <w:rPr>
          <w:rFonts w:cs="Arial"/>
          <w:b/>
          <w:sz w:val="32"/>
          <w:szCs w:val="32"/>
        </w:rPr>
        <w:t xml:space="preserve">3. </w:t>
      </w:r>
      <w:r w:rsidR="00F53D03" w:rsidRPr="00F53D03">
        <w:rPr>
          <w:rFonts w:cs="Arial"/>
          <w:b/>
          <w:sz w:val="32"/>
          <w:szCs w:val="32"/>
        </w:rPr>
        <w:t>BORROWING</w:t>
      </w:r>
    </w:p>
    <w:p w:rsidR="00DA2B16" w:rsidRPr="00F53D03" w:rsidRDefault="00DA2B16" w:rsidP="00DA2B16">
      <w:pPr>
        <w:rPr>
          <w:rFonts w:cs="Arial"/>
          <w:b/>
          <w:sz w:val="32"/>
          <w:szCs w:val="32"/>
        </w:rPr>
      </w:pPr>
    </w:p>
    <w:p w:rsidR="00DA2B16" w:rsidRDefault="00DA2B16" w:rsidP="00E07D64">
      <w:pPr>
        <w:numPr>
          <w:ilvl w:val="12"/>
          <w:numId w:val="0"/>
        </w:numPr>
        <w:ind w:left="567" w:hanging="567"/>
        <w:jc w:val="both"/>
        <w:rPr>
          <w:rFonts w:cs="Arial"/>
          <w:noProof/>
          <w:szCs w:val="24"/>
        </w:rPr>
      </w:pPr>
      <w:r w:rsidRPr="00F53D03">
        <w:rPr>
          <w:rFonts w:cs="Arial"/>
          <w:noProof/>
          <w:szCs w:val="24"/>
        </w:rPr>
        <w:t>3</w:t>
      </w:r>
      <w:r w:rsidR="00B32254">
        <w:rPr>
          <w:rFonts w:cs="Arial"/>
          <w:noProof/>
          <w:szCs w:val="24"/>
        </w:rPr>
        <w:t>2</w:t>
      </w:r>
      <w:r w:rsidRPr="00F53D03">
        <w:rPr>
          <w:rFonts w:cs="Arial"/>
          <w:noProof/>
          <w:szCs w:val="24"/>
        </w:rPr>
        <w:t>.</w:t>
      </w:r>
      <w:r w:rsidR="00E07D64">
        <w:rPr>
          <w:rFonts w:cs="Arial"/>
          <w:noProof/>
          <w:szCs w:val="24"/>
        </w:rPr>
        <w:tab/>
      </w:r>
      <w:r w:rsidRPr="00F53D03">
        <w:rPr>
          <w:rFonts w:cs="Arial"/>
          <w:noProof/>
          <w:szCs w:val="24"/>
        </w:rPr>
        <w:t xml:space="preserve">The capital expenditure programme set out </w:t>
      </w:r>
      <w:r w:rsidRPr="00E244E5">
        <w:rPr>
          <w:rFonts w:cs="Arial"/>
          <w:noProof/>
          <w:szCs w:val="24"/>
        </w:rPr>
        <w:t>in Paragraph 2</w:t>
      </w:r>
      <w:r w:rsidR="00342D5F">
        <w:rPr>
          <w:rFonts w:cs="Arial"/>
          <w:noProof/>
          <w:szCs w:val="24"/>
        </w:rPr>
        <w:t>3</w:t>
      </w:r>
      <w:r w:rsidRPr="00E244E5">
        <w:rPr>
          <w:rFonts w:cs="Arial"/>
          <w:noProof/>
          <w:szCs w:val="24"/>
        </w:rPr>
        <w:t xml:space="preserve"> provides</w:t>
      </w:r>
      <w:r w:rsidRPr="00F53D03">
        <w:rPr>
          <w:rFonts w:cs="Arial"/>
          <w:noProof/>
          <w:szCs w:val="24"/>
        </w:rPr>
        <w:t xml:space="preserve"> details of the service activity of the Council. The treasury management function ensures that the Council’s cash is organised in accordance with the relevant professional codes, so that sufficient cash is available to meet the activities of the Council. This involves both the organisation of the cash flow and, where the capital programme requires it, the organisation of approporiate borrowing facilities.  The strategy covers the relevant treasury indicators, the current and projected debt positions and the annual investment strategy.</w:t>
      </w:r>
    </w:p>
    <w:p w:rsidR="0037182E" w:rsidRPr="00F53D03" w:rsidRDefault="0037182E" w:rsidP="00E07D64">
      <w:pPr>
        <w:numPr>
          <w:ilvl w:val="12"/>
          <w:numId w:val="0"/>
        </w:numPr>
        <w:ind w:left="567" w:hanging="567"/>
        <w:jc w:val="both"/>
        <w:rPr>
          <w:rFonts w:cs="Arial"/>
          <w:noProof/>
          <w:szCs w:val="24"/>
        </w:rPr>
      </w:pPr>
    </w:p>
    <w:p w:rsidR="00DA2B16" w:rsidRPr="00E244E5" w:rsidRDefault="00DA2B16" w:rsidP="00DA2B16">
      <w:pPr>
        <w:spacing w:before="270" w:after="180"/>
        <w:jc w:val="both"/>
        <w:rPr>
          <w:rFonts w:cs="Arial"/>
          <w:b/>
          <w:noProof/>
          <w:sz w:val="28"/>
          <w:szCs w:val="28"/>
        </w:rPr>
      </w:pPr>
      <w:bookmarkStart w:id="5" w:name="_Toc339459952"/>
      <w:r w:rsidRPr="00E244E5">
        <w:rPr>
          <w:rFonts w:cs="Arial"/>
          <w:b/>
          <w:noProof/>
          <w:sz w:val="28"/>
          <w:szCs w:val="28"/>
        </w:rPr>
        <w:t xml:space="preserve">3.1 Current </w:t>
      </w:r>
      <w:r w:rsidR="0011523E">
        <w:rPr>
          <w:rFonts w:cs="Arial"/>
          <w:b/>
          <w:noProof/>
          <w:sz w:val="28"/>
          <w:szCs w:val="28"/>
        </w:rPr>
        <w:t xml:space="preserve">and </w:t>
      </w:r>
      <w:r w:rsidR="00743813">
        <w:rPr>
          <w:rFonts w:cs="Arial"/>
          <w:b/>
          <w:noProof/>
          <w:sz w:val="28"/>
          <w:szCs w:val="28"/>
        </w:rPr>
        <w:t xml:space="preserve">estimated </w:t>
      </w:r>
      <w:r w:rsidR="0011523E">
        <w:rPr>
          <w:rFonts w:cs="Arial"/>
          <w:b/>
          <w:noProof/>
          <w:sz w:val="28"/>
          <w:szCs w:val="28"/>
        </w:rPr>
        <w:t xml:space="preserve">portfolio </w:t>
      </w:r>
      <w:r w:rsidRPr="00E244E5">
        <w:rPr>
          <w:rFonts w:cs="Arial"/>
          <w:b/>
          <w:noProof/>
          <w:sz w:val="28"/>
          <w:szCs w:val="28"/>
        </w:rPr>
        <w:t>position</w:t>
      </w:r>
      <w:bookmarkEnd w:id="5"/>
    </w:p>
    <w:p w:rsidR="006032CC" w:rsidRDefault="00DA2B16" w:rsidP="006032CC">
      <w:pPr>
        <w:spacing w:before="270" w:after="180"/>
        <w:ind w:left="567" w:hanging="567"/>
        <w:jc w:val="both"/>
        <w:rPr>
          <w:rFonts w:cs="Arial"/>
          <w:noProof/>
          <w:szCs w:val="24"/>
        </w:rPr>
      </w:pPr>
      <w:r w:rsidRPr="00F53D03">
        <w:rPr>
          <w:rFonts w:cs="Arial"/>
          <w:noProof/>
          <w:szCs w:val="24"/>
        </w:rPr>
        <w:t>3</w:t>
      </w:r>
      <w:r w:rsidR="00B32254">
        <w:rPr>
          <w:rFonts w:cs="Arial"/>
          <w:noProof/>
          <w:szCs w:val="24"/>
        </w:rPr>
        <w:t>3</w:t>
      </w:r>
      <w:r w:rsidRPr="00F53D03">
        <w:rPr>
          <w:rFonts w:cs="Arial"/>
          <w:noProof/>
          <w:szCs w:val="24"/>
        </w:rPr>
        <w:t>.</w:t>
      </w:r>
      <w:r w:rsidR="00E07D64">
        <w:rPr>
          <w:rFonts w:cs="Arial"/>
          <w:noProof/>
          <w:szCs w:val="24"/>
        </w:rPr>
        <w:tab/>
      </w:r>
      <w:r w:rsidRPr="00F53D03">
        <w:rPr>
          <w:rFonts w:cs="Arial"/>
          <w:noProof/>
          <w:szCs w:val="24"/>
        </w:rPr>
        <w:t>The Council’s borrowing position at 31 December 201</w:t>
      </w:r>
      <w:r w:rsidR="006A116B">
        <w:rPr>
          <w:rFonts w:cs="Arial"/>
          <w:noProof/>
          <w:szCs w:val="24"/>
        </w:rPr>
        <w:t>7</w:t>
      </w:r>
      <w:r w:rsidRPr="00F53D03">
        <w:rPr>
          <w:rFonts w:cs="Arial"/>
          <w:noProof/>
          <w:szCs w:val="24"/>
        </w:rPr>
        <w:t xml:space="preserve"> is  summarised below.</w:t>
      </w:r>
    </w:p>
    <w:p w:rsidR="006032CC" w:rsidRDefault="006032CC" w:rsidP="006032CC">
      <w:pPr>
        <w:spacing w:before="270" w:after="180"/>
        <w:ind w:left="567" w:hanging="567"/>
        <w:jc w:val="both"/>
        <w:rPr>
          <w:rFonts w:cs="Arial"/>
          <w:b/>
          <w:szCs w:val="24"/>
        </w:rPr>
      </w:pPr>
    </w:p>
    <w:p w:rsidR="006032CC" w:rsidRDefault="006032CC" w:rsidP="006032CC">
      <w:pPr>
        <w:spacing w:before="270" w:after="180"/>
        <w:ind w:left="567" w:hanging="567"/>
        <w:jc w:val="both"/>
        <w:rPr>
          <w:rFonts w:cs="Arial"/>
          <w:b/>
          <w:szCs w:val="24"/>
        </w:rPr>
      </w:pPr>
    </w:p>
    <w:p w:rsidR="006032CC" w:rsidRDefault="006032CC" w:rsidP="006032CC">
      <w:pPr>
        <w:spacing w:before="270" w:after="180"/>
        <w:ind w:left="567" w:hanging="567"/>
        <w:jc w:val="both"/>
        <w:rPr>
          <w:rFonts w:cs="Arial"/>
          <w:b/>
          <w:szCs w:val="24"/>
        </w:rPr>
      </w:pPr>
    </w:p>
    <w:p w:rsidR="00DA2B16" w:rsidRPr="00CF6FAC" w:rsidRDefault="00DA2B16" w:rsidP="006032CC">
      <w:pPr>
        <w:spacing w:before="270" w:after="180"/>
        <w:ind w:left="567" w:hanging="567"/>
        <w:jc w:val="both"/>
        <w:rPr>
          <w:rFonts w:cs="Arial"/>
          <w:b/>
          <w:szCs w:val="24"/>
        </w:rPr>
      </w:pPr>
      <w:r w:rsidRPr="00CF6FAC">
        <w:rPr>
          <w:rFonts w:cs="Arial"/>
          <w:b/>
          <w:szCs w:val="24"/>
        </w:rPr>
        <w:lastRenderedPageBreak/>
        <w:t xml:space="preserve">Table </w:t>
      </w:r>
      <w:r w:rsidR="00140C7F" w:rsidRPr="00CF6FAC">
        <w:rPr>
          <w:rFonts w:cs="Arial"/>
          <w:b/>
          <w:szCs w:val="24"/>
        </w:rPr>
        <w:t>4</w:t>
      </w:r>
      <w:r w:rsidRPr="00CF6FAC">
        <w:rPr>
          <w:rFonts w:cs="Arial"/>
          <w:b/>
          <w:szCs w:val="24"/>
        </w:rPr>
        <w:t xml:space="preserve"> Summary Borrowing </w:t>
      </w:r>
      <w:r w:rsidR="007E471E" w:rsidRPr="00CF6FAC">
        <w:rPr>
          <w:rFonts w:cs="Arial"/>
          <w:b/>
          <w:szCs w:val="24"/>
        </w:rPr>
        <w:t>and</w:t>
      </w:r>
      <w:r w:rsidRPr="00CF6FAC">
        <w:rPr>
          <w:rFonts w:cs="Arial"/>
          <w:b/>
          <w:szCs w:val="24"/>
        </w:rPr>
        <w:t xml:space="preserve"> Investment Position at 31 December 201</w:t>
      </w:r>
      <w:r w:rsidR="006A116B" w:rsidRPr="00CF6FAC">
        <w:rPr>
          <w:rFonts w:cs="Arial"/>
          <w:b/>
          <w:szCs w:val="24"/>
        </w:rPr>
        <w:t>7</w:t>
      </w:r>
    </w:p>
    <w:p w:rsidR="00D0113A" w:rsidRDefault="004F5E06" w:rsidP="00743813">
      <w:pPr>
        <w:ind w:left="374" w:hanging="374"/>
        <w:jc w:val="both"/>
        <w:rPr>
          <w:rFonts w:cs="Arial"/>
          <w:b/>
          <w:bCs/>
        </w:rPr>
      </w:pPr>
      <w:r w:rsidRPr="004F5E06">
        <w:rPr>
          <w:noProof/>
          <w:lang w:eastAsia="en-GB"/>
        </w:rPr>
        <w:drawing>
          <wp:inline distT="0" distB="0" distL="0" distR="0" wp14:anchorId="49C93739" wp14:editId="47587414">
            <wp:extent cx="5078730" cy="1977390"/>
            <wp:effectExtent l="0" t="0" r="762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8730" cy="1977390"/>
                    </a:xfrm>
                    <a:prstGeom prst="rect">
                      <a:avLst/>
                    </a:prstGeom>
                    <a:noFill/>
                    <a:ln>
                      <a:noFill/>
                    </a:ln>
                  </pic:spPr>
                </pic:pic>
              </a:graphicData>
            </a:graphic>
          </wp:inline>
        </w:drawing>
      </w:r>
    </w:p>
    <w:p w:rsidR="00D0113A" w:rsidRDefault="00D0113A" w:rsidP="00743813">
      <w:pPr>
        <w:ind w:left="374" w:hanging="374"/>
        <w:jc w:val="both"/>
        <w:rPr>
          <w:rFonts w:cs="Arial"/>
          <w:b/>
          <w:bCs/>
        </w:rPr>
      </w:pPr>
    </w:p>
    <w:p w:rsidR="00DA2B16" w:rsidRPr="00DA2B16" w:rsidRDefault="00DA2B16" w:rsidP="00DA2B16">
      <w:pPr>
        <w:ind w:left="374" w:hanging="374"/>
        <w:jc w:val="both"/>
        <w:rPr>
          <w:rFonts w:cs="Arial"/>
          <w:bCs/>
          <w:szCs w:val="24"/>
          <w:highlight w:val="red"/>
          <w:lang w:eastAsia="en-GB"/>
        </w:rPr>
      </w:pPr>
    </w:p>
    <w:p w:rsidR="00DA2B16" w:rsidRPr="00F53D03" w:rsidRDefault="00DA2B16" w:rsidP="00DA2B16">
      <w:pPr>
        <w:autoSpaceDE w:val="0"/>
        <w:autoSpaceDN w:val="0"/>
        <w:adjustRightInd w:val="0"/>
        <w:ind w:left="567" w:hanging="567"/>
        <w:jc w:val="both"/>
        <w:rPr>
          <w:szCs w:val="24"/>
        </w:rPr>
      </w:pPr>
      <w:r w:rsidRPr="00DA2B16">
        <w:rPr>
          <w:rFonts w:cs="Arial"/>
          <w:bCs/>
          <w:noProof/>
          <w:szCs w:val="24"/>
        </w:rPr>
        <w:t>3</w:t>
      </w:r>
      <w:r w:rsidR="00B32254">
        <w:rPr>
          <w:rFonts w:cs="Arial"/>
          <w:bCs/>
          <w:noProof/>
          <w:szCs w:val="24"/>
        </w:rPr>
        <w:t>4</w:t>
      </w:r>
      <w:r w:rsidRPr="00DA2B16">
        <w:rPr>
          <w:szCs w:val="24"/>
        </w:rPr>
        <w:t>.</w:t>
      </w:r>
      <w:r w:rsidR="00884597">
        <w:rPr>
          <w:szCs w:val="24"/>
        </w:rPr>
        <w:tab/>
      </w:r>
      <w:r w:rsidRPr="00F53D03">
        <w:rPr>
          <w:szCs w:val="24"/>
        </w:rPr>
        <w:t xml:space="preserve">The Council has borrowed </w:t>
      </w:r>
      <w:r w:rsidRPr="00CB4A66">
        <w:rPr>
          <w:szCs w:val="24"/>
        </w:rPr>
        <w:t>£</w:t>
      </w:r>
      <w:r w:rsidR="006D3AA3" w:rsidRPr="00CB4A66">
        <w:rPr>
          <w:szCs w:val="24"/>
        </w:rPr>
        <w:t>50</w:t>
      </w:r>
      <w:r w:rsidRPr="00CB4A66">
        <w:rPr>
          <w:szCs w:val="24"/>
        </w:rPr>
        <w:t>.8</w:t>
      </w:r>
      <w:r w:rsidR="00AB2B7D" w:rsidRPr="00CB4A66">
        <w:rPr>
          <w:szCs w:val="24"/>
        </w:rPr>
        <w:t>m</w:t>
      </w:r>
      <w:r w:rsidR="00371375">
        <w:rPr>
          <w:szCs w:val="24"/>
        </w:rPr>
        <w:t xml:space="preserve"> </w:t>
      </w:r>
      <w:r w:rsidRPr="00F53D03">
        <w:rPr>
          <w:szCs w:val="24"/>
        </w:rPr>
        <w:t>under Lender Option, Borrower Option (LOBO) structures with maturities between 2050 and 207</w:t>
      </w:r>
      <w:r w:rsidR="00AB2B7D" w:rsidRPr="00F53D03">
        <w:rPr>
          <w:szCs w:val="24"/>
        </w:rPr>
        <w:t>7</w:t>
      </w:r>
      <w:r w:rsidRPr="00F53D03">
        <w:rPr>
          <w:szCs w:val="24"/>
        </w:rPr>
        <w:t>.  In exchange for an interest rate that was below that offered on long term debt by the PWLB, the lender has the option at the end of five years (and half yearly thereafter) to reset the interest rate. If the rate of interest changes, the Council is permitted to repay the loan at no additional cost.</w:t>
      </w:r>
    </w:p>
    <w:p w:rsidR="00DA2B16" w:rsidRPr="00F53D03" w:rsidRDefault="00DA2B16" w:rsidP="00DA2B16">
      <w:pPr>
        <w:autoSpaceDE w:val="0"/>
        <w:autoSpaceDN w:val="0"/>
        <w:adjustRightInd w:val="0"/>
        <w:ind w:left="374" w:hanging="374"/>
        <w:jc w:val="both"/>
        <w:rPr>
          <w:szCs w:val="24"/>
        </w:rPr>
      </w:pPr>
    </w:p>
    <w:p w:rsidR="00DA2B16" w:rsidRDefault="00DA2B16" w:rsidP="00DA2B16">
      <w:pPr>
        <w:widowControl w:val="0"/>
        <w:numPr>
          <w:ilvl w:val="12"/>
          <w:numId w:val="0"/>
        </w:numPr>
        <w:spacing w:before="120" w:after="120"/>
        <w:ind w:left="561" w:hanging="561"/>
        <w:jc w:val="both"/>
        <w:rPr>
          <w:rFonts w:cs="Arial"/>
          <w:bCs/>
          <w:noProof/>
          <w:szCs w:val="24"/>
        </w:rPr>
      </w:pPr>
      <w:r w:rsidRPr="00F53D03">
        <w:rPr>
          <w:rFonts w:cs="Arial"/>
          <w:bCs/>
          <w:noProof/>
          <w:szCs w:val="24"/>
        </w:rPr>
        <w:t>3</w:t>
      </w:r>
      <w:r w:rsidR="00B32254">
        <w:rPr>
          <w:rFonts w:cs="Arial"/>
          <w:bCs/>
          <w:noProof/>
          <w:szCs w:val="24"/>
        </w:rPr>
        <w:t>5</w:t>
      </w:r>
      <w:r w:rsidRPr="00F53D03">
        <w:rPr>
          <w:rFonts w:cs="Arial"/>
          <w:bCs/>
          <w:noProof/>
          <w:szCs w:val="24"/>
        </w:rPr>
        <w:t>.</w:t>
      </w:r>
      <w:r w:rsidR="00884597">
        <w:rPr>
          <w:rFonts w:cs="Arial"/>
          <w:bCs/>
          <w:noProof/>
          <w:szCs w:val="24"/>
        </w:rPr>
        <w:tab/>
      </w:r>
      <w:r w:rsidRPr="00F53D03">
        <w:rPr>
          <w:rFonts w:cs="Arial"/>
          <w:bCs/>
          <w:noProof/>
          <w:szCs w:val="24"/>
        </w:rPr>
        <w:t>The Council’s borrowing position with forward projections is  summarised below. The table shows the actual external debt, against the underlying capital borrowing need, highlighting any under or over borrowing.</w:t>
      </w:r>
      <w:r w:rsidRPr="00DA2B16">
        <w:rPr>
          <w:rFonts w:cs="Arial"/>
          <w:bCs/>
          <w:noProof/>
          <w:szCs w:val="24"/>
        </w:rPr>
        <w:t xml:space="preserve"> </w:t>
      </w:r>
    </w:p>
    <w:p w:rsidR="003774F9" w:rsidRDefault="003774F9" w:rsidP="00DA2B16">
      <w:pPr>
        <w:ind w:left="374" w:hanging="374"/>
        <w:jc w:val="both"/>
        <w:rPr>
          <w:rFonts w:cs="Arial"/>
          <w:b/>
          <w:bCs/>
          <w:u w:val="single"/>
        </w:rPr>
      </w:pPr>
    </w:p>
    <w:p w:rsidR="00DA2B16" w:rsidRPr="00DA2B16" w:rsidRDefault="00DA2B16" w:rsidP="00DA2B16">
      <w:pPr>
        <w:ind w:left="561" w:hanging="561"/>
        <w:jc w:val="both"/>
        <w:rPr>
          <w:rFonts w:cs="Arial"/>
          <w:bCs/>
        </w:rPr>
      </w:pPr>
      <w:r w:rsidRPr="00715BDF">
        <w:rPr>
          <w:rFonts w:cs="Arial"/>
          <w:bCs/>
        </w:rPr>
        <w:t>3</w:t>
      </w:r>
      <w:r w:rsidR="00B32254">
        <w:rPr>
          <w:rFonts w:cs="Arial"/>
          <w:bCs/>
        </w:rPr>
        <w:t>6</w:t>
      </w:r>
      <w:r w:rsidRPr="00715BDF">
        <w:rPr>
          <w:rFonts w:cs="Arial"/>
          <w:bCs/>
        </w:rPr>
        <w:t>.</w:t>
      </w:r>
      <w:r w:rsidR="00884597">
        <w:rPr>
          <w:rFonts w:cs="Arial"/>
          <w:bCs/>
        </w:rPr>
        <w:tab/>
      </w:r>
      <w:r w:rsidRPr="00715BDF">
        <w:rPr>
          <w:rFonts w:cs="Arial"/>
          <w:bCs/>
        </w:rPr>
        <w:t>The expected change in debt in 201</w:t>
      </w:r>
      <w:r w:rsidR="006A116B">
        <w:rPr>
          <w:rFonts w:cs="Arial"/>
          <w:bCs/>
        </w:rPr>
        <w:t>8</w:t>
      </w:r>
      <w:r w:rsidRPr="00715BDF">
        <w:rPr>
          <w:rFonts w:cs="Arial"/>
          <w:bCs/>
        </w:rPr>
        <w:t>/1</w:t>
      </w:r>
      <w:r w:rsidR="006A116B">
        <w:rPr>
          <w:rFonts w:cs="Arial"/>
          <w:bCs/>
        </w:rPr>
        <w:t>9</w:t>
      </w:r>
      <w:r w:rsidR="00AB2B7D" w:rsidRPr="00715BDF">
        <w:rPr>
          <w:rFonts w:cs="Arial"/>
          <w:bCs/>
        </w:rPr>
        <w:t>, 201</w:t>
      </w:r>
      <w:r w:rsidR="006A116B">
        <w:rPr>
          <w:rFonts w:cs="Arial"/>
          <w:bCs/>
        </w:rPr>
        <w:t>9</w:t>
      </w:r>
      <w:r w:rsidR="00AB2B7D" w:rsidRPr="00715BDF">
        <w:rPr>
          <w:rFonts w:cs="Arial"/>
          <w:bCs/>
        </w:rPr>
        <w:t>/</w:t>
      </w:r>
      <w:r w:rsidR="006A116B">
        <w:rPr>
          <w:rFonts w:cs="Arial"/>
          <w:bCs/>
        </w:rPr>
        <w:t>20</w:t>
      </w:r>
      <w:r w:rsidRPr="00715BDF">
        <w:rPr>
          <w:rFonts w:cs="Arial"/>
          <w:bCs/>
        </w:rPr>
        <w:t xml:space="preserve"> and 20</w:t>
      </w:r>
      <w:r w:rsidR="006A116B">
        <w:rPr>
          <w:rFonts w:cs="Arial"/>
          <w:bCs/>
        </w:rPr>
        <w:t>2</w:t>
      </w:r>
      <w:r w:rsidR="003E2033">
        <w:rPr>
          <w:rFonts w:cs="Arial"/>
          <w:bCs/>
        </w:rPr>
        <w:t>0</w:t>
      </w:r>
      <w:r w:rsidR="00AB2B7D" w:rsidRPr="00715BDF">
        <w:rPr>
          <w:rFonts w:cs="Arial"/>
          <w:bCs/>
        </w:rPr>
        <w:t>/202</w:t>
      </w:r>
      <w:r w:rsidR="003E2033">
        <w:rPr>
          <w:rFonts w:cs="Arial"/>
          <w:bCs/>
        </w:rPr>
        <w:t>1</w:t>
      </w:r>
      <w:r w:rsidRPr="00715BDF">
        <w:rPr>
          <w:rFonts w:cs="Arial"/>
          <w:bCs/>
        </w:rPr>
        <w:t xml:space="preserve"> reflects the anticipated borrowing necessary to meet the capital programme </w:t>
      </w:r>
      <w:r w:rsidRPr="00743813">
        <w:rPr>
          <w:rFonts w:cs="Arial"/>
          <w:bCs/>
        </w:rPr>
        <w:t>described in Table 1.</w:t>
      </w:r>
    </w:p>
    <w:p w:rsidR="00DA2B16" w:rsidRPr="00DA2B16" w:rsidRDefault="00DA2B16" w:rsidP="00DA2B16">
      <w:pPr>
        <w:ind w:left="561" w:hanging="561"/>
        <w:jc w:val="both"/>
        <w:rPr>
          <w:rFonts w:cs="Arial"/>
          <w:b/>
          <w:bCs/>
          <w:szCs w:val="24"/>
        </w:rPr>
      </w:pPr>
    </w:p>
    <w:p w:rsidR="00DA2B16" w:rsidRDefault="009B34EB" w:rsidP="00DA2B16">
      <w:pPr>
        <w:ind w:left="561" w:hanging="561"/>
        <w:jc w:val="both"/>
        <w:rPr>
          <w:rFonts w:cs="Arial"/>
          <w:bCs/>
          <w:szCs w:val="24"/>
        </w:rPr>
      </w:pPr>
      <w:r>
        <w:rPr>
          <w:rFonts w:cs="Arial"/>
          <w:bCs/>
          <w:szCs w:val="24"/>
        </w:rPr>
        <w:t>3</w:t>
      </w:r>
      <w:r w:rsidR="00B32254">
        <w:rPr>
          <w:rFonts w:cs="Arial"/>
          <w:bCs/>
          <w:szCs w:val="24"/>
        </w:rPr>
        <w:t>7</w:t>
      </w:r>
      <w:r w:rsidR="00DA2B16" w:rsidRPr="00715BDF">
        <w:rPr>
          <w:rFonts w:cs="Arial"/>
          <w:bCs/>
          <w:szCs w:val="24"/>
        </w:rPr>
        <w:t>.</w:t>
      </w:r>
      <w:r w:rsidR="00884597">
        <w:rPr>
          <w:rFonts w:cs="Arial"/>
          <w:bCs/>
          <w:szCs w:val="24"/>
        </w:rPr>
        <w:tab/>
      </w:r>
      <w:r w:rsidR="00DA2B16" w:rsidRPr="00715BDF">
        <w:rPr>
          <w:rFonts w:cs="Arial"/>
          <w:bCs/>
          <w:szCs w:val="24"/>
        </w:rPr>
        <w:t>Debt outstanding should not exceed CFR.</w:t>
      </w:r>
    </w:p>
    <w:p w:rsidR="00D753A5" w:rsidRDefault="00D753A5" w:rsidP="00DA2B16">
      <w:pPr>
        <w:ind w:left="561" w:hanging="561"/>
        <w:jc w:val="both"/>
        <w:rPr>
          <w:rFonts w:cs="Arial"/>
          <w:bCs/>
          <w:szCs w:val="24"/>
        </w:rPr>
      </w:pPr>
    </w:p>
    <w:p w:rsidR="00B32254" w:rsidRDefault="00B32254" w:rsidP="00DA2B16">
      <w:pPr>
        <w:ind w:left="561" w:hanging="561"/>
        <w:jc w:val="both"/>
        <w:rPr>
          <w:rFonts w:cs="Arial"/>
          <w:bCs/>
          <w:szCs w:val="24"/>
        </w:rPr>
      </w:pPr>
    </w:p>
    <w:p w:rsidR="00D753A5" w:rsidRPr="00CF6FAC" w:rsidRDefault="00D753A5" w:rsidP="00D753A5">
      <w:pPr>
        <w:ind w:left="374" w:hanging="374"/>
        <w:jc w:val="both"/>
        <w:rPr>
          <w:rFonts w:cs="Arial"/>
          <w:b/>
          <w:bCs/>
        </w:rPr>
      </w:pPr>
      <w:r w:rsidRPr="00CF6FAC">
        <w:rPr>
          <w:rFonts w:cs="Arial"/>
          <w:b/>
          <w:bCs/>
        </w:rPr>
        <w:t xml:space="preserve">Table </w:t>
      </w:r>
      <w:r w:rsidR="00140C7F" w:rsidRPr="00CF6FAC">
        <w:rPr>
          <w:rFonts w:cs="Arial"/>
          <w:b/>
          <w:bCs/>
        </w:rPr>
        <w:t>5</w:t>
      </w:r>
      <w:r w:rsidRPr="00CF6FAC">
        <w:rPr>
          <w:rFonts w:cs="Arial"/>
          <w:b/>
          <w:bCs/>
        </w:rPr>
        <w:t xml:space="preserve"> Changes to Gross Debt </w:t>
      </w:r>
    </w:p>
    <w:p w:rsidR="00D753A5" w:rsidRPr="003E2033" w:rsidRDefault="00D753A5" w:rsidP="00D753A5">
      <w:pPr>
        <w:ind w:left="374" w:hanging="374"/>
        <w:jc w:val="both"/>
        <w:rPr>
          <w:rFonts w:cs="Arial"/>
          <w:b/>
          <w:bCs/>
          <w:highlight w:val="yellow"/>
          <w:u w:val="single"/>
        </w:rPr>
      </w:pPr>
    </w:p>
    <w:p w:rsidR="00C20E0D" w:rsidRDefault="004F5E06" w:rsidP="00DA2B16">
      <w:pPr>
        <w:spacing w:after="120"/>
        <w:ind w:left="561" w:hanging="561"/>
        <w:jc w:val="both"/>
        <w:rPr>
          <w:rFonts w:cs="Arial"/>
          <w:iCs/>
          <w:szCs w:val="24"/>
        </w:rPr>
      </w:pPr>
      <w:r w:rsidRPr="004F5E06">
        <w:rPr>
          <w:noProof/>
          <w:lang w:eastAsia="en-GB"/>
        </w:rPr>
        <w:drawing>
          <wp:inline distT="0" distB="0" distL="0" distR="0" wp14:anchorId="37D513F9" wp14:editId="046BFAD2">
            <wp:extent cx="5276215" cy="1476632"/>
            <wp:effectExtent l="0" t="0" r="63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215" cy="1476632"/>
                    </a:xfrm>
                    <a:prstGeom prst="rect">
                      <a:avLst/>
                    </a:prstGeom>
                    <a:noFill/>
                    <a:ln>
                      <a:noFill/>
                    </a:ln>
                  </pic:spPr>
                </pic:pic>
              </a:graphicData>
            </a:graphic>
          </wp:inline>
        </w:drawing>
      </w:r>
    </w:p>
    <w:p w:rsidR="00C20E0D" w:rsidRDefault="00C20E0D" w:rsidP="00DA2B16">
      <w:pPr>
        <w:spacing w:after="120"/>
        <w:ind w:left="561" w:hanging="561"/>
        <w:jc w:val="both"/>
        <w:rPr>
          <w:rFonts w:cs="Arial"/>
          <w:iCs/>
          <w:szCs w:val="24"/>
        </w:rPr>
      </w:pPr>
    </w:p>
    <w:p w:rsidR="00DA2B16" w:rsidRPr="00DA2B16" w:rsidRDefault="009B34EB" w:rsidP="00DA2B16">
      <w:pPr>
        <w:spacing w:after="120"/>
        <w:ind w:left="561" w:hanging="561"/>
        <w:jc w:val="both"/>
        <w:rPr>
          <w:rFonts w:cs="Arial"/>
          <w:iCs/>
          <w:szCs w:val="24"/>
        </w:rPr>
      </w:pPr>
      <w:r>
        <w:rPr>
          <w:rFonts w:cs="Arial"/>
          <w:iCs/>
          <w:szCs w:val="24"/>
        </w:rPr>
        <w:t>3</w:t>
      </w:r>
      <w:r w:rsidR="00B32254">
        <w:rPr>
          <w:rFonts w:cs="Arial"/>
          <w:iCs/>
          <w:szCs w:val="24"/>
        </w:rPr>
        <w:t>8</w:t>
      </w:r>
      <w:r w:rsidR="00DA2B16" w:rsidRPr="00715BDF">
        <w:rPr>
          <w:rFonts w:cs="Arial"/>
          <w:iCs/>
          <w:szCs w:val="24"/>
        </w:rPr>
        <w:t>.</w:t>
      </w:r>
      <w:r w:rsidR="00884597">
        <w:rPr>
          <w:rFonts w:cs="Arial"/>
          <w:iCs/>
          <w:szCs w:val="24"/>
        </w:rPr>
        <w:tab/>
      </w:r>
      <w:r w:rsidR="00DA2B16" w:rsidRPr="00715BDF">
        <w:rPr>
          <w:rFonts w:cs="Arial"/>
          <w:iCs/>
          <w:szCs w:val="24"/>
        </w:rPr>
        <w:t>Within the prudential indicators there are a number of key indicators to ensure that the Council operates its activities within well</w:t>
      </w:r>
      <w:r w:rsidR="00D0113A">
        <w:rPr>
          <w:rFonts w:cs="Arial"/>
          <w:iCs/>
          <w:szCs w:val="24"/>
        </w:rPr>
        <w:t>-</w:t>
      </w:r>
      <w:r w:rsidR="00DA2B16" w:rsidRPr="00715BDF">
        <w:rPr>
          <w:rFonts w:cs="Arial"/>
          <w:iCs/>
          <w:szCs w:val="24"/>
        </w:rPr>
        <w:t>defined limits. One of these is that</w:t>
      </w:r>
      <w:r w:rsidR="00DA2B16" w:rsidRPr="00715BDF">
        <w:rPr>
          <w:rFonts w:cs="Arial"/>
          <w:bCs/>
          <w:iCs/>
          <w:noProof/>
          <w:spacing w:val="-5"/>
          <w:szCs w:val="24"/>
        </w:rPr>
        <w:t xml:space="preserve"> the Council needs to ensure that its gross debt does not, except in the short term, exceed the total of the CFR in the preceding year plus the estimates of any additional CFR for 20</w:t>
      </w:r>
      <w:r w:rsidR="00AB2B7D" w:rsidRPr="00715BDF">
        <w:rPr>
          <w:rFonts w:cs="Arial"/>
          <w:bCs/>
          <w:iCs/>
          <w:noProof/>
          <w:spacing w:val="-5"/>
          <w:szCs w:val="24"/>
        </w:rPr>
        <w:t>1</w:t>
      </w:r>
      <w:r w:rsidR="003E2033">
        <w:rPr>
          <w:rFonts w:cs="Arial"/>
          <w:bCs/>
          <w:iCs/>
          <w:noProof/>
          <w:spacing w:val="-5"/>
          <w:szCs w:val="24"/>
        </w:rPr>
        <w:t>8</w:t>
      </w:r>
      <w:r w:rsidR="00AB2B7D" w:rsidRPr="00715BDF">
        <w:rPr>
          <w:rFonts w:cs="Arial"/>
          <w:bCs/>
          <w:iCs/>
          <w:noProof/>
          <w:spacing w:val="-5"/>
          <w:szCs w:val="24"/>
        </w:rPr>
        <w:t>/1</w:t>
      </w:r>
      <w:r w:rsidR="003E2033">
        <w:rPr>
          <w:rFonts w:cs="Arial"/>
          <w:bCs/>
          <w:iCs/>
          <w:noProof/>
          <w:spacing w:val="-5"/>
          <w:szCs w:val="24"/>
        </w:rPr>
        <w:t>9</w:t>
      </w:r>
      <w:r w:rsidR="00DA2B16" w:rsidRPr="00715BDF">
        <w:rPr>
          <w:rFonts w:cs="Arial"/>
          <w:bCs/>
          <w:iCs/>
          <w:noProof/>
          <w:spacing w:val="-5"/>
          <w:szCs w:val="24"/>
        </w:rPr>
        <w:t xml:space="preserve"> and the following two financial years</w:t>
      </w:r>
      <w:r w:rsidR="00DA2B16" w:rsidRPr="00572B03">
        <w:rPr>
          <w:rFonts w:cs="Arial"/>
          <w:bCs/>
          <w:iCs/>
          <w:noProof/>
          <w:spacing w:val="-5"/>
          <w:szCs w:val="24"/>
        </w:rPr>
        <w:t xml:space="preserve">. This allows some flexibility for limited early borrowing for </w:t>
      </w:r>
      <w:r w:rsidR="00DA2B16" w:rsidRPr="00572B03">
        <w:rPr>
          <w:rFonts w:cs="Arial"/>
          <w:bCs/>
          <w:iCs/>
          <w:noProof/>
          <w:spacing w:val="-5"/>
          <w:szCs w:val="24"/>
        </w:rPr>
        <w:lastRenderedPageBreak/>
        <w:t>future years</w:t>
      </w:r>
      <w:r w:rsidR="00DA2B16" w:rsidRPr="00572B03">
        <w:rPr>
          <w:rFonts w:cs="Arial"/>
          <w:iCs/>
          <w:szCs w:val="24"/>
        </w:rPr>
        <w:t>, but ensures that borrowing is not undertaken for revenue purposes.</w:t>
      </w:r>
    </w:p>
    <w:p w:rsidR="00DA2B16" w:rsidRPr="00715BDF" w:rsidRDefault="00B32254" w:rsidP="00096E62">
      <w:pPr>
        <w:spacing w:before="120" w:after="120"/>
        <w:ind w:left="561" w:hanging="561"/>
        <w:jc w:val="both"/>
        <w:rPr>
          <w:rFonts w:cs="Arial"/>
          <w:b/>
          <w:bCs/>
        </w:rPr>
      </w:pPr>
      <w:r>
        <w:rPr>
          <w:rFonts w:cs="Arial"/>
          <w:iCs/>
          <w:szCs w:val="24"/>
        </w:rPr>
        <w:t>39</w:t>
      </w:r>
      <w:r w:rsidR="00DA2B16" w:rsidRPr="00715BDF">
        <w:rPr>
          <w:rFonts w:cs="Arial"/>
          <w:iCs/>
          <w:szCs w:val="24"/>
        </w:rPr>
        <w:t>.</w:t>
      </w:r>
      <w:r w:rsidR="00884597">
        <w:rPr>
          <w:rFonts w:cs="Arial"/>
          <w:iCs/>
          <w:szCs w:val="24"/>
        </w:rPr>
        <w:tab/>
      </w:r>
      <w:r w:rsidR="00DA2B16" w:rsidRPr="00715BDF">
        <w:rPr>
          <w:rFonts w:cs="Arial"/>
          <w:iCs/>
          <w:szCs w:val="24"/>
        </w:rPr>
        <w:t xml:space="preserve">The Director of Finance reports that the Council complied with this prudential indicator in the current year and does not envisage difficulties for the future. This view takes into account current commitments, existing programmes and the proposals in </w:t>
      </w:r>
      <w:r w:rsidR="00884597">
        <w:rPr>
          <w:rFonts w:cs="Arial"/>
          <w:iCs/>
          <w:szCs w:val="24"/>
        </w:rPr>
        <w:t>the budget report.</w:t>
      </w:r>
    </w:p>
    <w:p w:rsidR="00DA2B16" w:rsidRDefault="00DA2B16" w:rsidP="00DA2B16">
      <w:pPr>
        <w:ind w:left="561" w:hanging="561"/>
        <w:jc w:val="both"/>
        <w:rPr>
          <w:rFonts w:cs="Arial"/>
          <w:bCs/>
        </w:rPr>
      </w:pPr>
      <w:r w:rsidRPr="00715BDF">
        <w:rPr>
          <w:rFonts w:cs="Arial"/>
        </w:rPr>
        <w:t>4</w:t>
      </w:r>
      <w:r w:rsidR="00B32254">
        <w:rPr>
          <w:rFonts w:cs="Arial"/>
        </w:rPr>
        <w:t>0</w:t>
      </w:r>
      <w:r w:rsidRPr="00715BDF">
        <w:rPr>
          <w:rFonts w:cs="Arial"/>
        </w:rPr>
        <w:t>.</w:t>
      </w:r>
      <w:r w:rsidR="00884597">
        <w:rPr>
          <w:rFonts w:cs="Arial"/>
        </w:rPr>
        <w:tab/>
      </w:r>
      <w:r w:rsidRPr="00715BDF">
        <w:rPr>
          <w:rFonts w:cs="Arial"/>
        </w:rPr>
        <w:t>The table below shows the net borrowing after investment balances are taken into account.</w:t>
      </w:r>
      <w:r w:rsidRPr="00DA2B16">
        <w:rPr>
          <w:rFonts w:cs="Arial"/>
          <w:bCs/>
        </w:rPr>
        <w:t xml:space="preserve"> </w:t>
      </w:r>
    </w:p>
    <w:p w:rsidR="00884597" w:rsidRDefault="00884597" w:rsidP="00743813">
      <w:pPr>
        <w:ind w:left="561" w:hanging="561"/>
        <w:jc w:val="both"/>
        <w:rPr>
          <w:rFonts w:cs="Arial"/>
          <w:b/>
          <w:bCs/>
        </w:rPr>
      </w:pPr>
    </w:p>
    <w:p w:rsidR="00DA2B16" w:rsidRPr="00133B17" w:rsidRDefault="00DA2B16" w:rsidP="00743813">
      <w:pPr>
        <w:ind w:left="561" w:hanging="561"/>
        <w:jc w:val="both"/>
        <w:rPr>
          <w:rFonts w:cs="Arial"/>
          <w:b/>
          <w:bCs/>
        </w:rPr>
      </w:pPr>
      <w:r w:rsidRPr="00133B17">
        <w:rPr>
          <w:rFonts w:cs="Arial"/>
          <w:b/>
          <w:bCs/>
        </w:rPr>
        <w:t xml:space="preserve">Table </w:t>
      </w:r>
      <w:r w:rsidR="001D7DC7" w:rsidRPr="00133B17">
        <w:rPr>
          <w:rFonts w:cs="Arial"/>
          <w:b/>
          <w:bCs/>
        </w:rPr>
        <w:t>6</w:t>
      </w:r>
      <w:r w:rsidRPr="00133B17">
        <w:rPr>
          <w:rFonts w:cs="Arial"/>
          <w:b/>
          <w:bCs/>
        </w:rPr>
        <w:t xml:space="preserve"> Net Borrowing </w:t>
      </w:r>
    </w:p>
    <w:p w:rsidR="0023342B" w:rsidRDefault="0023342B" w:rsidP="00743813">
      <w:pPr>
        <w:ind w:left="561" w:hanging="561"/>
        <w:jc w:val="both"/>
        <w:rPr>
          <w:rFonts w:cs="Arial"/>
          <w:b/>
          <w:bCs/>
        </w:rPr>
      </w:pPr>
    </w:p>
    <w:p w:rsidR="00854E12" w:rsidRDefault="008607ED" w:rsidP="00743813">
      <w:pPr>
        <w:ind w:left="561" w:hanging="561"/>
        <w:jc w:val="both"/>
        <w:rPr>
          <w:rFonts w:cs="Arial"/>
          <w:b/>
          <w:bCs/>
        </w:rPr>
      </w:pPr>
      <w:r w:rsidRPr="008607ED">
        <w:rPr>
          <w:noProof/>
          <w:lang w:eastAsia="en-GB"/>
        </w:rPr>
        <w:drawing>
          <wp:inline distT="0" distB="0" distL="0" distR="0" wp14:anchorId="6EC35F66" wp14:editId="582FB46E">
            <wp:extent cx="5276215" cy="1960046"/>
            <wp:effectExtent l="0" t="0" r="635"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215" cy="1960046"/>
                    </a:xfrm>
                    <a:prstGeom prst="rect">
                      <a:avLst/>
                    </a:prstGeom>
                    <a:noFill/>
                    <a:ln>
                      <a:noFill/>
                    </a:ln>
                  </pic:spPr>
                </pic:pic>
              </a:graphicData>
            </a:graphic>
          </wp:inline>
        </w:drawing>
      </w:r>
    </w:p>
    <w:p w:rsidR="00854E12" w:rsidRDefault="00854E12" w:rsidP="00743813">
      <w:pPr>
        <w:ind w:left="561" w:hanging="561"/>
        <w:jc w:val="both"/>
        <w:rPr>
          <w:rFonts w:cs="Arial"/>
          <w:b/>
          <w:bCs/>
        </w:rPr>
      </w:pPr>
    </w:p>
    <w:p w:rsidR="00DA2B16" w:rsidRPr="00DA2B16" w:rsidRDefault="00DA2B16" w:rsidP="00FB43C9">
      <w:pPr>
        <w:jc w:val="both"/>
        <w:rPr>
          <w:rFonts w:cs="Arial"/>
          <w:b/>
          <w:bCs/>
        </w:rPr>
      </w:pPr>
      <w:r w:rsidRPr="00FB43C9">
        <w:rPr>
          <w:rFonts w:cs="Arial"/>
          <w:bCs/>
        </w:rPr>
        <w:t>The change in net borrowing in 201</w:t>
      </w:r>
      <w:r w:rsidR="003E2033">
        <w:rPr>
          <w:rFonts w:cs="Arial"/>
          <w:bCs/>
        </w:rPr>
        <w:t>7</w:t>
      </w:r>
      <w:r w:rsidRPr="00FB43C9">
        <w:rPr>
          <w:rFonts w:cs="Arial"/>
          <w:bCs/>
        </w:rPr>
        <w:t>/1</w:t>
      </w:r>
      <w:r w:rsidR="003E2033">
        <w:rPr>
          <w:rFonts w:cs="Arial"/>
          <w:bCs/>
        </w:rPr>
        <w:t>8</w:t>
      </w:r>
      <w:r w:rsidRPr="00FB43C9">
        <w:rPr>
          <w:rFonts w:cs="Arial"/>
          <w:bCs/>
        </w:rPr>
        <w:t xml:space="preserve"> arises </w:t>
      </w:r>
      <w:r w:rsidR="00096E62" w:rsidRPr="00FB43C9">
        <w:rPr>
          <w:rFonts w:cs="Arial"/>
          <w:bCs/>
        </w:rPr>
        <w:t>mainly from the</w:t>
      </w:r>
      <w:r w:rsidRPr="00FB43C9">
        <w:rPr>
          <w:rFonts w:cs="Arial"/>
          <w:bCs/>
        </w:rPr>
        <w:t xml:space="preserve"> reduction in cash </w:t>
      </w:r>
      <w:r w:rsidRPr="00133B17">
        <w:rPr>
          <w:rFonts w:cs="Arial"/>
          <w:bCs/>
        </w:rPr>
        <w:t xml:space="preserve">balances </w:t>
      </w:r>
      <w:r w:rsidR="00096E62" w:rsidRPr="00133B17">
        <w:rPr>
          <w:rFonts w:cs="Arial"/>
          <w:bCs/>
        </w:rPr>
        <w:t>of £</w:t>
      </w:r>
      <w:r w:rsidR="009C0428">
        <w:rPr>
          <w:rFonts w:cs="Arial"/>
          <w:bCs/>
        </w:rPr>
        <w:t>16</w:t>
      </w:r>
      <w:r w:rsidR="00EF51F5" w:rsidRPr="00133B17">
        <w:rPr>
          <w:rFonts w:cs="Arial"/>
          <w:bCs/>
        </w:rPr>
        <w:t xml:space="preserve"> </w:t>
      </w:r>
      <w:r w:rsidR="00B16F51" w:rsidRPr="00133B17">
        <w:rPr>
          <w:rFonts w:cs="Arial"/>
          <w:bCs/>
        </w:rPr>
        <w:t xml:space="preserve">m </w:t>
      </w:r>
      <w:r w:rsidRPr="00FB43C9">
        <w:rPr>
          <w:rFonts w:cs="Arial"/>
          <w:bCs/>
        </w:rPr>
        <w:t xml:space="preserve">and in subsequent years from </w:t>
      </w:r>
      <w:r w:rsidR="00096E62" w:rsidRPr="00FB43C9">
        <w:rPr>
          <w:rFonts w:cs="Arial"/>
          <w:bCs/>
        </w:rPr>
        <w:t xml:space="preserve">additional </w:t>
      </w:r>
      <w:r w:rsidRPr="00FB43C9">
        <w:rPr>
          <w:rFonts w:cs="Arial"/>
          <w:bCs/>
        </w:rPr>
        <w:t>borrowing</w:t>
      </w:r>
      <w:r w:rsidR="00096E62" w:rsidRPr="00FB43C9">
        <w:rPr>
          <w:rFonts w:cs="Arial"/>
          <w:bCs/>
        </w:rPr>
        <w:t>.</w:t>
      </w:r>
    </w:p>
    <w:p w:rsidR="00DA2B16" w:rsidRPr="00E244E5" w:rsidRDefault="00DA2B16" w:rsidP="00DA2B16">
      <w:pPr>
        <w:spacing w:before="270" w:after="180"/>
        <w:jc w:val="both"/>
        <w:rPr>
          <w:rFonts w:cs="Arial"/>
          <w:b/>
          <w:noProof/>
          <w:sz w:val="28"/>
          <w:szCs w:val="28"/>
        </w:rPr>
      </w:pPr>
      <w:bookmarkStart w:id="6" w:name="_Toc339459953"/>
      <w:r w:rsidRPr="00E244E5">
        <w:rPr>
          <w:rFonts w:cs="Arial"/>
          <w:b/>
          <w:noProof/>
          <w:sz w:val="28"/>
          <w:szCs w:val="28"/>
        </w:rPr>
        <w:t>3.</w:t>
      </w:r>
      <w:r w:rsidR="008D0892" w:rsidRPr="00E244E5">
        <w:rPr>
          <w:rFonts w:cs="Arial"/>
          <w:b/>
          <w:noProof/>
          <w:sz w:val="28"/>
          <w:szCs w:val="28"/>
        </w:rPr>
        <w:t>2</w:t>
      </w:r>
      <w:r w:rsidR="00884597">
        <w:rPr>
          <w:rFonts w:cs="Arial"/>
          <w:b/>
          <w:noProof/>
          <w:sz w:val="28"/>
          <w:szCs w:val="28"/>
        </w:rPr>
        <w:t xml:space="preserve"> </w:t>
      </w:r>
      <w:r w:rsidRPr="00E244E5">
        <w:rPr>
          <w:rFonts w:cs="Arial"/>
          <w:b/>
          <w:noProof/>
          <w:sz w:val="28"/>
          <w:szCs w:val="28"/>
        </w:rPr>
        <w:t xml:space="preserve">Treasury </w:t>
      </w:r>
      <w:r w:rsidR="00146434">
        <w:rPr>
          <w:rFonts w:cs="Arial"/>
          <w:b/>
          <w:noProof/>
          <w:sz w:val="28"/>
          <w:szCs w:val="28"/>
        </w:rPr>
        <w:t>i</w:t>
      </w:r>
      <w:r w:rsidRPr="00E244E5">
        <w:rPr>
          <w:rFonts w:cs="Arial"/>
          <w:b/>
          <w:noProof/>
          <w:sz w:val="28"/>
          <w:szCs w:val="28"/>
        </w:rPr>
        <w:t>ndicators: limits to borrowing activity</w:t>
      </w:r>
      <w:bookmarkEnd w:id="6"/>
    </w:p>
    <w:p w:rsidR="00DA2B16" w:rsidRPr="00715BDF" w:rsidRDefault="00DA2B16" w:rsidP="00DA2B16">
      <w:pPr>
        <w:spacing w:after="120"/>
        <w:jc w:val="both"/>
        <w:rPr>
          <w:rFonts w:cs="Arial"/>
          <w:b/>
          <w:iCs/>
          <w:szCs w:val="24"/>
        </w:rPr>
      </w:pPr>
      <w:r w:rsidRPr="00715BDF">
        <w:rPr>
          <w:rFonts w:cs="Arial"/>
          <w:b/>
          <w:iCs/>
          <w:szCs w:val="24"/>
        </w:rPr>
        <w:t>The Operational Boundary</w:t>
      </w:r>
    </w:p>
    <w:p w:rsidR="00DA2B16" w:rsidRPr="00715BDF" w:rsidRDefault="00DA2B16" w:rsidP="00DA2B16">
      <w:pPr>
        <w:tabs>
          <w:tab w:val="num" w:pos="561"/>
        </w:tabs>
        <w:spacing w:after="120"/>
        <w:jc w:val="both"/>
        <w:rPr>
          <w:rFonts w:cs="Arial"/>
          <w:i/>
          <w:iCs/>
          <w:szCs w:val="24"/>
        </w:rPr>
      </w:pPr>
      <w:r w:rsidRPr="00715BDF">
        <w:rPr>
          <w:rFonts w:cs="Arial"/>
          <w:iCs/>
          <w:szCs w:val="24"/>
        </w:rPr>
        <w:t>4</w:t>
      </w:r>
      <w:r w:rsidR="00B32254">
        <w:rPr>
          <w:rFonts w:cs="Arial"/>
          <w:iCs/>
          <w:szCs w:val="24"/>
        </w:rPr>
        <w:t>1</w:t>
      </w:r>
      <w:r w:rsidRPr="00715BDF">
        <w:rPr>
          <w:rFonts w:cs="Arial"/>
          <w:iCs/>
          <w:szCs w:val="24"/>
        </w:rPr>
        <w:t>.</w:t>
      </w:r>
      <w:r w:rsidR="00884597">
        <w:rPr>
          <w:rFonts w:cs="Arial"/>
          <w:iCs/>
          <w:szCs w:val="24"/>
        </w:rPr>
        <w:tab/>
      </w:r>
      <w:r w:rsidRPr="00715BDF">
        <w:rPr>
          <w:rFonts w:cs="Arial"/>
          <w:iCs/>
          <w:szCs w:val="24"/>
        </w:rPr>
        <w:t>This is the limit which external debt is not normally expected to exceed.</w:t>
      </w:r>
    </w:p>
    <w:p w:rsidR="00DA2B16" w:rsidRPr="00DA2B16" w:rsidRDefault="00DA2B16" w:rsidP="00DA2B16">
      <w:pPr>
        <w:tabs>
          <w:tab w:val="num" w:pos="561"/>
        </w:tabs>
        <w:spacing w:after="120"/>
        <w:ind w:left="561" w:hanging="561"/>
        <w:jc w:val="both"/>
        <w:rPr>
          <w:rFonts w:cs="Arial"/>
          <w:iCs/>
          <w:szCs w:val="24"/>
        </w:rPr>
      </w:pPr>
      <w:r w:rsidRPr="00715BDF">
        <w:rPr>
          <w:rFonts w:cs="Arial"/>
          <w:iCs/>
          <w:szCs w:val="24"/>
        </w:rPr>
        <w:t>4</w:t>
      </w:r>
      <w:r w:rsidR="00B32254">
        <w:rPr>
          <w:rFonts w:cs="Arial"/>
          <w:iCs/>
          <w:szCs w:val="24"/>
        </w:rPr>
        <w:t>2</w:t>
      </w:r>
      <w:r w:rsidRPr="00715BDF">
        <w:rPr>
          <w:rFonts w:cs="Arial"/>
          <w:iCs/>
          <w:szCs w:val="24"/>
        </w:rPr>
        <w:t>.</w:t>
      </w:r>
      <w:r w:rsidR="00884597">
        <w:rPr>
          <w:rFonts w:cs="Arial"/>
          <w:iCs/>
          <w:szCs w:val="24"/>
        </w:rPr>
        <w:tab/>
      </w:r>
      <w:r w:rsidRPr="00715BDF">
        <w:rPr>
          <w:rFonts w:cs="Arial"/>
          <w:iCs/>
          <w:szCs w:val="24"/>
        </w:rPr>
        <w:t xml:space="preserve">The boundary is based on </w:t>
      </w:r>
      <w:r w:rsidR="00B3742C" w:rsidRPr="00715BDF">
        <w:rPr>
          <w:rFonts w:cs="Arial"/>
          <w:iCs/>
          <w:szCs w:val="24"/>
        </w:rPr>
        <w:t>the Council</w:t>
      </w:r>
      <w:r w:rsidR="007F0CE3">
        <w:rPr>
          <w:rFonts w:cs="Arial"/>
          <w:iCs/>
          <w:szCs w:val="24"/>
        </w:rPr>
        <w:t>’</w:t>
      </w:r>
      <w:r w:rsidR="00B3742C" w:rsidRPr="00715BDF">
        <w:rPr>
          <w:rFonts w:cs="Arial"/>
          <w:iCs/>
          <w:szCs w:val="24"/>
        </w:rPr>
        <w:t>s programme for capital expenditure, capital financing requirement and cash flow requirements for the year.</w:t>
      </w:r>
      <w:r w:rsidRPr="00DA2B16">
        <w:rPr>
          <w:rFonts w:cs="Arial"/>
          <w:iCs/>
          <w:szCs w:val="24"/>
        </w:rPr>
        <w:t xml:space="preserve"> </w:t>
      </w:r>
    </w:p>
    <w:p w:rsidR="00DA2B16" w:rsidRPr="00DA2B16" w:rsidRDefault="00DA2B16" w:rsidP="00DA2B16">
      <w:pPr>
        <w:spacing w:after="120"/>
        <w:jc w:val="both"/>
        <w:rPr>
          <w:rFonts w:cs="Arial"/>
          <w:b/>
          <w:iCs/>
          <w:szCs w:val="24"/>
        </w:rPr>
      </w:pPr>
      <w:r w:rsidRPr="00DA2B16">
        <w:rPr>
          <w:rFonts w:cs="Arial"/>
          <w:b/>
          <w:iCs/>
          <w:szCs w:val="24"/>
        </w:rPr>
        <w:t>The Authorised Limit for External Debt.</w:t>
      </w:r>
    </w:p>
    <w:p w:rsidR="00DA2B16" w:rsidRPr="00EA4EE6" w:rsidRDefault="00DA2B16" w:rsidP="00DA2B16">
      <w:pPr>
        <w:spacing w:after="120"/>
        <w:ind w:left="561" w:hanging="561"/>
        <w:jc w:val="both"/>
        <w:rPr>
          <w:rFonts w:cs="Arial"/>
          <w:iCs/>
          <w:szCs w:val="24"/>
        </w:rPr>
      </w:pPr>
      <w:r w:rsidRPr="00A4618C">
        <w:rPr>
          <w:rFonts w:cs="Arial"/>
          <w:iCs/>
          <w:szCs w:val="24"/>
        </w:rPr>
        <w:t>4</w:t>
      </w:r>
      <w:r w:rsidR="00B32254">
        <w:rPr>
          <w:rFonts w:cs="Arial"/>
          <w:iCs/>
          <w:szCs w:val="24"/>
        </w:rPr>
        <w:t>3</w:t>
      </w:r>
      <w:r w:rsidRPr="00EA4EE6">
        <w:rPr>
          <w:rFonts w:cs="Arial"/>
          <w:iCs/>
          <w:sz w:val="22"/>
          <w:szCs w:val="22"/>
        </w:rPr>
        <w:t>.</w:t>
      </w:r>
      <w:r w:rsidR="00884597">
        <w:rPr>
          <w:rFonts w:cs="Arial"/>
          <w:iCs/>
          <w:sz w:val="22"/>
          <w:szCs w:val="22"/>
        </w:rPr>
        <w:tab/>
      </w:r>
      <w:r w:rsidRPr="00EA4EE6">
        <w:rPr>
          <w:rFonts w:cs="Arial"/>
          <w:iCs/>
          <w:szCs w:val="24"/>
        </w:rPr>
        <w:t>This is a further key prudential indicator which represents a control on the maximum level of borrowing. It represents a limit beyond which external debt is prohibited.</w:t>
      </w:r>
      <w:r w:rsidR="00884597">
        <w:rPr>
          <w:rFonts w:cs="Arial"/>
          <w:iCs/>
          <w:szCs w:val="24"/>
        </w:rPr>
        <w:t xml:space="preserve"> </w:t>
      </w:r>
      <w:r w:rsidRPr="00EA4EE6">
        <w:rPr>
          <w:rFonts w:cs="Arial"/>
          <w:iCs/>
          <w:szCs w:val="24"/>
        </w:rPr>
        <w:t>It relates to the financing of the capital programme by both external borrowing and other forms of liability, such as credit arrangements.</w:t>
      </w:r>
    </w:p>
    <w:p w:rsidR="00DA2B16" w:rsidRDefault="00DA2B16" w:rsidP="00DA2B16">
      <w:pPr>
        <w:spacing w:after="120"/>
        <w:ind w:left="561" w:hanging="561"/>
        <w:jc w:val="both"/>
        <w:rPr>
          <w:rFonts w:cs="Arial"/>
          <w:iCs/>
          <w:szCs w:val="24"/>
        </w:rPr>
      </w:pPr>
      <w:r w:rsidRPr="00EA4EE6">
        <w:rPr>
          <w:rFonts w:cs="Arial"/>
          <w:iCs/>
          <w:szCs w:val="24"/>
        </w:rPr>
        <w:t>4</w:t>
      </w:r>
      <w:r w:rsidR="00B32254">
        <w:rPr>
          <w:rFonts w:cs="Arial"/>
          <w:iCs/>
          <w:szCs w:val="24"/>
        </w:rPr>
        <w:t>4</w:t>
      </w:r>
      <w:r w:rsidRPr="00EA4EE6">
        <w:rPr>
          <w:rFonts w:cs="Arial"/>
          <w:iCs/>
          <w:szCs w:val="24"/>
        </w:rPr>
        <w:t>.</w:t>
      </w:r>
      <w:r w:rsidR="00884597">
        <w:rPr>
          <w:rFonts w:cs="Arial"/>
          <w:iCs/>
          <w:szCs w:val="24"/>
        </w:rPr>
        <w:tab/>
      </w:r>
      <w:r w:rsidRPr="00EA4EE6">
        <w:rPr>
          <w:rFonts w:cs="Arial"/>
          <w:iCs/>
          <w:szCs w:val="24"/>
        </w:rPr>
        <w:t>This is the statutory limit determined under section 3 (1) of the Local Government Act 2003. The Government retains an option to control either the total of all councils’ programmes, or those of a specific council, although this power has not yet been exercised.</w:t>
      </w:r>
    </w:p>
    <w:p w:rsidR="000450CA" w:rsidRDefault="000450CA" w:rsidP="00DA2B16">
      <w:pPr>
        <w:spacing w:after="120"/>
        <w:ind w:left="561" w:hanging="561"/>
        <w:jc w:val="both"/>
        <w:rPr>
          <w:rFonts w:cs="Arial"/>
          <w:iCs/>
          <w:szCs w:val="24"/>
        </w:rPr>
      </w:pPr>
    </w:p>
    <w:p w:rsidR="007E32F7" w:rsidRDefault="007E32F7" w:rsidP="00DA2B16">
      <w:pPr>
        <w:spacing w:after="120"/>
        <w:ind w:left="561" w:hanging="561"/>
        <w:jc w:val="both"/>
        <w:rPr>
          <w:rFonts w:cs="Arial"/>
          <w:iCs/>
          <w:szCs w:val="24"/>
        </w:rPr>
      </w:pPr>
    </w:p>
    <w:p w:rsidR="007E32F7" w:rsidRDefault="007E32F7" w:rsidP="00DA2B16">
      <w:pPr>
        <w:spacing w:after="120"/>
        <w:ind w:left="561" w:hanging="561"/>
        <w:jc w:val="both"/>
        <w:rPr>
          <w:rFonts w:cs="Arial"/>
          <w:iCs/>
          <w:szCs w:val="24"/>
        </w:rPr>
      </w:pPr>
    </w:p>
    <w:p w:rsidR="007E32F7" w:rsidRPr="00EA4EE6" w:rsidRDefault="007E32F7" w:rsidP="00DA2B16">
      <w:pPr>
        <w:spacing w:after="120"/>
        <w:ind w:left="561" w:hanging="561"/>
        <w:jc w:val="both"/>
        <w:rPr>
          <w:rFonts w:cs="Arial"/>
          <w:iCs/>
          <w:szCs w:val="24"/>
        </w:rPr>
      </w:pPr>
    </w:p>
    <w:p w:rsidR="0023342B" w:rsidRDefault="0023342B" w:rsidP="00DA2B16">
      <w:pPr>
        <w:ind w:left="374" w:hanging="374"/>
        <w:jc w:val="both"/>
        <w:rPr>
          <w:rFonts w:cs="Arial"/>
          <w:b/>
          <w:bCs/>
          <w:highlight w:val="yellow"/>
        </w:rPr>
      </w:pPr>
    </w:p>
    <w:p w:rsidR="00DA2B16" w:rsidRPr="00133B17" w:rsidRDefault="0023342B" w:rsidP="00DA2B16">
      <w:pPr>
        <w:ind w:left="374" w:hanging="374"/>
        <w:jc w:val="both"/>
        <w:rPr>
          <w:rFonts w:cs="Arial"/>
          <w:b/>
          <w:bCs/>
        </w:rPr>
      </w:pPr>
      <w:r w:rsidRPr="00133B17">
        <w:rPr>
          <w:rFonts w:cs="Arial"/>
          <w:b/>
          <w:bCs/>
        </w:rPr>
        <w:lastRenderedPageBreak/>
        <w:t>T</w:t>
      </w:r>
      <w:r w:rsidR="00DA2B16" w:rsidRPr="00133B17">
        <w:rPr>
          <w:rFonts w:cs="Arial"/>
          <w:b/>
          <w:bCs/>
        </w:rPr>
        <w:t xml:space="preserve">able </w:t>
      </w:r>
      <w:r w:rsidR="001D7DC7" w:rsidRPr="00133B17">
        <w:rPr>
          <w:rFonts w:cs="Arial"/>
          <w:b/>
          <w:bCs/>
        </w:rPr>
        <w:t>7</w:t>
      </w:r>
      <w:r w:rsidR="00DA2B16" w:rsidRPr="00133B17">
        <w:rPr>
          <w:rFonts w:cs="Arial"/>
          <w:b/>
          <w:bCs/>
        </w:rPr>
        <w:t xml:space="preserve"> Operational boundary and authorised limit</w:t>
      </w:r>
    </w:p>
    <w:p w:rsidR="00854E12" w:rsidRPr="003E2033" w:rsidRDefault="00854E12" w:rsidP="00DA2B16">
      <w:pPr>
        <w:ind w:left="374" w:hanging="374"/>
        <w:jc w:val="both"/>
        <w:rPr>
          <w:rFonts w:cs="Arial"/>
          <w:b/>
          <w:bCs/>
          <w:highlight w:val="yellow"/>
        </w:rPr>
      </w:pPr>
    </w:p>
    <w:p w:rsidR="00854E12" w:rsidRDefault="008607ED" w:rsidP="00DA2B16">
      <w:pPr>
        <w:ind w:left="374" w:hanging="374"/>
        <w:jc w:val="both"/>
        <w:rPr>
          <w:rFonts w:cs="Arial"/>
          <w:b/>
          <w:bCs/>
        </w:rPr>
      </w:pPr>
      <w:r w:rsidRPr="008607ED">
        <w:rPr>
          <w:noProof/>
          <w:lang w:eastAsia="en-GB"/>
        </w:rPr>
        <w:drawing>
          <wp:inline distT="0" distB="0" distL="0" distR="0" wp14:anchorId="108262C9" wp14:editId="751484B2">
            <wp:extent cx="5276215" cy="2248967"/>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6215" cy="2248967"/>
                    </a:xfrm>
                    <a:prstGeom prst="rect">
                      <a:avLst/>
                    </a:prstGeom>
                    <a:noFill/>
                    <a:ln>
                      <a:noFill/>
                    </a:ln>
                  </pic:spPr>
                </pic:pic>
              </a:graphicData>
            </a:graphic>
          </wp:inline>
        </w:drawing>
      </w:r>
    </w:p>
    <w:p w:rsidR="00854E12" w:rsidRDefault="00854E12" w:rsidP="00DA2B16">
      <w:pPr>
        <w:ind w:left="374" w:hanging="374"/>
        <w:jc w:val="both"/>
        <w:rPr>
          <w:rFonts w:cs="Arial"/>
          <w:b/>
          <w:bCs/>
        </w:rPr>
      </w:pPr>
    </w:p>
    <w:p w:rsidR="00EA4EE6" w:rsidRPr="00EA4EE6" w:rsidRDefault="00EA4EE6" w:rsidP="00250961">
      <w:pPr>
        <w:spacing w:after="120"/>
        <w:jc w:val="both"/>
        <w:rPr>
          <w:rFonts w:cs="Arial"/>
          <w:iCs/>
          <w:szCs w:val="24"/>
        </w:rPr>
      </w:pPr>
      <w:r w:rsidRPr="00EA4EE6">
        <w:rPr>
          <w:rFonts w:cs="Arial"/>
          <w:iCs/>
          <w:szCs w:val="24"/>
        </w:rPr>
        <w:t>Due to the Council</w:t>
      </w:r>
      <w:r>
        <w:rPr>
          <w:rFonts w:cs="Arial"/>
          <w:iCs/>
          <w:szCs w:val="24"/>
        </w:rPr>
        <w:t>’</w:t>
      </w:r>
      <w:r w:rsidRPr="00EA4EE6">
        <w:rPr>
          <w:rFonts w:cs="Arial"/>
          <w:iCs/>
          <w:szCs w:val="24"/>
        </w:rPr>
        <w:t>s current under borrowing position it is considered suffic</w:t>
      </w:r>
      <w:r>
        <w:rPr>
          <w:rFonts w:cs="Arial"/>
          <w:iCs/>
          <w:szCs w:val="24"/>
        </w:rPr>
        <w:t>i</w:t>
      </w:r>
      <w:r w:rsidRPr="00EA4EE6">
        <w:rPr>
          <w:rFonts w:cs="Arial"/>
          <w:iCs/>
          <w:szCs w:val="24"/>
        </w:rPr>
        <w:t>ent to set the Authorised limit at the same level as the CFR.</w:t>
      </w:r>
    </w:p>
    <w:p w:rsidR="00DA2B16" w:rsidRDefault="00336403" w:rsidP="00250961">
      <w:pPr>
        <w:spacing w:after="120"/>
        <w:jc w:val="both"/>
        <w:rPr>
          <w:rFonts w:cs="Arial"/>
          <w:iCs/>
          <w:szCs w:val="24"/>
        </w:rPr>
      </w:pPr>
      <w:r w:rsidRPr="00250961">
        <w:rPr>
          <w:rFonts w:cs="Arial"/>
          <w:iCs/>
          <w:szCs w:val="24"/>
        </w:rPr>
        <w:t xml:space="preserve">As shown </w:t>
      </w:r>
      <w:r w:rsidRPr="00B41130">
        <w:rPr>
          <w:rFonts w:cs="Arial"/>
          <w:iCs/>
          <w:szCs w:val="24"/>
        </w:rPr>
        <w:t xml:space="preserve">in </w:t>
      </w:r>
      <w:r w:rsidR="00250961" w:rsidRPr="00B41130">
        <w:rPr>
          <w:rFonts w:cs="Arial"/>
          <w:iCs/>
          <w:szCs w:val="24"/>
        </w:rPr>
        <w:t>T</w:t>
      </w:r>
      <w:r w:rsidRPr="00B41130">
        <w:rPr>
          <w:rFonts w:cs="Arial"/>
          <w:iCs/>
          <w:szCs w:val="24"/>
        </w:rPr>
        <w:t xml:space="preserve">able </w:t>
      </w:r>
      <w:r w:rsidR="00B41130" w:rsidRPr="00B41130">
        <w:rPr>
          <w:rFonts w:cs="Arial"/>
          <w:iCs/>
          <w:szCs w:val="24"/>
        </w:rPr>
        <w:t>1</w:t>
      </w:r>
      <w:r w:rsidR="00CB78B3">
        <w:rPr>
          <w:rFonts w:cs="Arial"/>
          <w:iCs/>
          <w:szCs w:val="24"/>
        </w:rPr>
        <w:t>1</w:t>
      </w:r>
      <w:r w:rsidR="00B41130" w:rsidRPr="00B41130">
        <w:rPr>
          <w:rFonts w:cs="Arial"/>
          <w:iCs/>
          <w:szCs w:val="24"/>
        </w:rPr>
        <w:t xml:space="preserve"> in Appendix F</w:t>
      </w:r>
      <w:r w:rsidRPr="00B41130">
        <w:rPr>
          <w:rFonts w:cs="Arial"/>
          <w:iCs/>
          <w:szCs w:val="24"/>
        </w:rPr>
        <w:t xml:space="preserve"> below</w:t>
      </w:r>
      <w:r w:rsidR="00FC0A53" w:rsidRPr="00B41130">
        <w:rPr>
          <w:rFonts w:cs="Arial"/>
          <w:iCs/>
          <w:szCs w:val="24"/>
        </w:rPr>
        <w:t>,</w:t>
      </w:r>
      <w:r w:rsidRPr="00B41130">
        <w:rPr>
          <w:rFonts w:cs="Arial"/>
          <w:iCs/>
          <w:szCs w:val="24"/>
        </w:rPr>
        <w:t xml:space="preserve"> the Council may wish to make </w:t>
      </w:r>
      <w:r w:rsidR="00340FCD" w:rsidRPr="00B41130">
        <w:rPr>
          <w:rFonts w:cs="Arial"/>
          <w:iCs/>
          <w:szCs w:val="24"/>
        </w:rPr>
        <w:t xml:space="preserve">additional </w:t>
      </w:r>
      <w:r w:rsidRPr="00B41130">
        <w:rPr>
          <w:rFonts w:cs="Arial"/>
          <w:iCs/>
          <w:szCs w:val="24"/>
        </w:rPr>
        <w:t>investments of over 36</w:t>
      </w:r>
      <w:r w:rsidR="003E2033">
        <w:rPr>
          <w:rFonts w:cs="Arial"/>
          <w:iCs/>
          <w:szCs w:val="24"/>
        </w:rPr>
        <w:t>5</w:t>
      </w:r>
      <w:r w:rsidRPr="00B41130">
        <w:rPr>
          <w:rFonts w:cs="Arial"/>
          <w:iCs/>
          <w:szCs w:val="24"/>
        </w:rPr>
        <w:t xml:space="preserve"> days</w:t>
      </w:r>
      <w:r w:rsidR="00340FCD" w:rsidRPr="00B41130">
        <w:rPr>
          <w:rFonts w:cs="Arial"/>
          <w:iCs/>
          <w:szCs w:val="24"/>
        </w:rPr>
        <w:t xml:space="preserve">. </w:t>
      </w:r>
      <w:r w:rsidRPr="00B41130">
        <w:rPr>
          <w:rFonts w:cs="Arial"/>
          <w:iCs/>
          <w:szCs w:val="24"/>
        </w:rPr>
        <w:t>The</w:t>
      </w:r>
      <w:r w:rsidRPr="00250961">
        <w:rPr>
          <w:rFonts w:cs="Arial"/>
          <w:iCs/>
          <w:szCs w:val="24"/>
        </w:rPr>
        <w:t xml:space="preserve"> current limit for such investments is £</w:t>
      </w:r>
      <w:r w:rsidR="003E2033">
        <w:rPr>
          <w:rFonts w:cs="Arial"/>
          <w:iCs/>
          <w:szCs w:val="24"/>
        </w:rPr>
        <w:t>60</w:t>
      </w:r>
      <w:r w:rsidRPr="00250961">
        <w:rPr>
          <w:rFonts w:cs="Arial"/>
          <w:iCs/>
          <w:szCs w:val="24"/>
        </w:rPr>
        <w:t xml:space="preserve">m. </w:t>
      </w:r>
    </w:p>
    <w:p w:rsidR="00250961" w:rsidRDefault="00250961" w:rsidP="00DA2B16">
      <w:pPr>
        <w:spacing w:after="120"/>
        <w:jc w:val="both"/>
        <w:rPr>
          <w:rFonts w:cs="Arial"/>
          <w:b/>
          <w:iCs/>
          <w:szCs w:val="24"/>
        </w:rPr>
      </w:pPr>
    </w:p>
    <w:p w:rsidR="00DA2B16" w:rsidRPr="00DA2B16" w:rsidRDefault="00DA2B16" w:rsidP="00DA2B16">
      <w:pPr>
        <w:spacing w:after="120"/>
        <w:jc w:val="both"/>
        <w:rPr>
          <w:rFonts w:cs="Arial"/>
          <w:b/>
          <w:iCs/>
          <w:szCs w:val="24"/>
        </w:rPr>
      </w:pPr>
      <w:r w:rsidRPr="00DA2B16">
        <w:rPr>
          <w:rFonts w:cs="Arial"/>
          <w:b/>
          <w:iCs/>
          <w:szCs w:val="24"/>
        </w:rPr>
        <w:t>HRA Debt Limit</w:t>
      </w:r>
    </w:p>
    <w:p w:rsidR="00DA2B16" w:rsidRPr="00DA2B16" w:rsidRDefault="00DA2B16" w:rsidP="00DA2B16">
      <w:pPr>
        <w:autoSpaceDE w:val="0"/>
        <w:autoSpaceDN w:val="0"/>
        <w:adjustRightInd w:val="0"/>
        <w:ind w:left="561" w:hanging="561"/>
        <w:jc w:val="both"/>
        <w:rPr>
          <w:rFonts w:cs="Arial"/>
          <w:szCs w:val="24"/>
          <w:lang w:val="en-US"/>
        </w:rPr>
      </w:pPr>
      <w:r w:rsidRPr="00DA2B16">
        <w:rPr>
          <w:rFonts w:cs="Arial"/>
          <w:szCs w:val="24"/>
          <w:lang w:val="en-US"/>
        </w:rPr>
        <w:t>4</w:t>
      </w:r>
      <w:r w:rsidR="00B32254">
        <w:rPr>
          <w:rFonts w:cs="Arial"/>
          <w:szCs w:val="24"/>
          <w:lang w:val="en-US"/>
        </w:rPr>
        <w:t>5</w:t>
      </w:r>
      <w:r w:rsidRPr="00DA2B16">
        <w:rPr>
          <w:rFonts w:cs="Arial"/>
          <w:szCs w:val="24"/>
          <w:lang w:val="en-US"/>
        </w:rPr>
        <w:t>.</w:t>
      </w:r>
      <w:r w:rsidR="00884597">
        <w:rPr>
          <w:rFonts w:cs="Arial"/>
          <w:szCs w:val="24"/>
          <w:lang w:val="en-US"/>
        </w:rPr>
        <w:tab/>
      </w:r>
      <w:r w:rsidRPr="00DA2B16">
        <w:rPr>
          <w:rFonts w:cs="Arial"/>
          <w:szCs w:val="24"/>
          <w:lang w:val="en-US"/>
        </w:rPr>
        <w:t>Separately, the Council is also limited to a maximum HRA debt through the HRA self-financing regime. This limit and the HRA CFR are shown in the table below.</w:t>
      </w:r>
      <w:r w:rsidR="008607ED">
        <w:rPr>
          <w:rFonts w:cs="Arial"/>
          <w:szCs w:val="24"/>
          <w:lang w:val="en-US"/>
        </w:rPr>
        <w:t xml:space="preserve"> An application has been made to DCLG to increase the HRA debt limit.</w:t>
      </w:r>
    </w:p>
    <w:p w:rsidR="00A60D91" w:rsidRDefault="00A60D91" w:rsidP="00DA2B16">
      <w:pPr>
        <w:ind w:left="374" w:hanging="374"/>
        <w:jc w:val="both"/>
        <w:rPr>
          <w:rFonts w:cs="Arial"/>
          <w:b/>
          <w:bCs/>
          <w:u w:val="single"/>
        </w:rPr>
      </w:pPr>
    </w:p>
    <w:p w:rsidR="00DA2B16" w:rsidRDefault="00DA2B16" w:rsidP="00DA2B16">
      <w:pPr>
        <w:ind w:left="374" w:hanging="374"/>
        <w:jc w:val="both"/>
        <w:rPr>
          <w:rFonts w:cs="Arial"/>
          <w:b/>
          <w:bCs/>
        </w:rPr>
      </w:pPr>
      <w:r w:rsidRPr="00133B17">
        <w:rPr>
          <w:rFonts w:cs="Arial"/>
          <w:b/>
          <w:bCs/>
        </w:rPr>
        <w:t xml:space="preserve">Table </w:t>
      </w:r>
      <w:r w:rsidR="001D7DC7" w:rsidRPr="00133B17">
        <w:rPr>
          <w:rFonts w:cs="Arial"/>
          <w:b/>
          <w:bCs/>
        </w:rPr>
        <w:t>8</w:t>
      </w:r>
      <w:r w:rsidRPr="00133B17">
        <w:rPr>
          <w:rFonts w:cs="Arial"/>
          <w:b/>
          <w:bCs/>
        </w:rPr>
        <w:t xml:space="preserve"> HRA Debt Limit and CFR</w:t>
      </w:r>
    </w:p>
    <w:p w:rsidR="007A3B7F" w:rsidRPr="006E2081" w:rsidRDefault="007A3B7F" w:rsidP="00DA2B16">
      <w:pPr>
        <w:ind w:left="374" w:hanging="374"/>
        <w:jc w:val="both"/>
        <w:rPr>
          <w:rFonts w:cs="Arial"/>
          <w:b/>
          <w:bCs/>
        </w:rPr>
      </w:pPr>
    </w:p>
    <w:p w:rsidR="00DA2B16" w:rsidRPr="006E2081" w:rsidRDefault="008607ED" w:rsidP="00DA2B16">
      <w:pPr>
        <w:autoSpaceDE w:val="0"/>
        <w:autoSpaceDN w:val="0"/>
        <w:adjustRightInd w:val="0"/>
        <w:jc w:val="both"/>
        <w:rPr>
          <w:rFonts w:cs="Arial"/>
          <w:sz w:val="22"/>
          <w:szCs w:val="22"/>
          <w:lang w:val="en-US"/>
        </w:rPr>
      </w:pPr>
      <w:r w:rsidRPr="008607ED">
        <w:rPr>
          <w:noProof/>
          <w:lang w:eastAsia="en-GB"/>
        </w:rPr>
        <w:drawing>
          <wp:inline distT="0" distB="0" distL="0" distR="0" wp14:anchorId="5FC17290" wp14:editId="1B54EF29">
            <wp:extent cx="5276215" cy="707252"/>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6215" cy="707252"/>
                    </a:xfrm>
                    <a:prstGeom prst="rect">
                      <a:avLst/>
                    </a:prstGeom>
                    <a:noFill/>
                    <a:ln>
                      <a:noFill/>
                    </a:ln>
                  </pic:spPr>
                </pic:pic>
              </a:graphicData>
            </a:graphic>
          </wp:inline>
        </w:drawing>
      </w:r>
    </w:p>
    <w:p w:rsidR="00DA2B16" w:rsidRDefault="00DA2B16" w:rsidP="00DA2B16">
      <w:pPr>
        <w:autoSpaceDE w:val="0"/>
        <w:autoSpaceDN w:val="0"/>
        <w:adjustRightInd w:val="0"/>
        <w:jc w:val="both"/>
      </w:pPr>
    </w:p>
    <w:p w:rsidR="00DA2B16" w:rsidRPr="003178FF" w:rsidRDefault="00DA2B16" w:rsidP="00904003">
      <w:pPr>
        <w:spacing w:before="270" w:after="180"/>
        <w:jc w:val="both"/>
        <w:rPr>
          <w:rFonts w:cs="Arial"/>
          <w:b/>
          <w:noProof/>
          <w:sz w:val="28"/>
          <w:szCs w:val="28"/>
        </w:rPr>
      </w:pPr>
      <w:r w:rsidRPr="00133B17">
        <w:rPr>
          <w:rFonts w:cs="Arial"/>
          <w:b/>
          <w:noProof/>
          <w:sz w:val="28"/>
          <w:szCs w:val="28"/>
        </w:rPr>
        <w:t>3.</w:t>
      </w:r>
      <w:r w:rsidR="008D0892" w:rsidRPr="00133B17">
        <w:rPr>
          <w:rFonts w:cs="Arial"/>
          <w:b/>
          <w:noProof/>
          <w:sz w:val="28"/>
          <w:szCs w:val="28"/>
        </w:rPr>
        <w:t>3</w:t>
      </w:r>
      <w:r w:rsidRPr="00133B17">
        <w:rPr>
          <w:rFonts w:cs="Arial"/>
          <w:b/>
          <w:noProof/>
          <w:sz w:val="28"/>
          <w:szCs w:val="28"/>
        </w:rPr>
        <w:t xml:space="preserve"> Prospects for </w:t>
      </w:r>
      <w:r w:rsidR="00146434" w:rsidRPr="00133B17">
        <w:rPr>
          <w:rFonts w:cs="Arial"/>
          <w:b/>
          <w:noProof/>
          <w:sz w:val="28"/>
          <w:szCs w:val="28"/>
        </w:rPr>
        <w:t>i</w:t>
      </w:r>
      <w:r w:rsidRPr="00133B17">
        <w:rPr>
          <w:rFonts w:cs="Arial"/>
          <w:b/>
          <w:noProof/>
          <w:sz w:val="28"/>
          <w:szCs w:val="28"/>
        </w:rPr>
        <w:t xml:space="preserve">nterest </w:t>
      </w:r>
      <w:r w:rsidR="00146434" w:rsidRPr="00133B17">
        <w:rPr>
          <w:rFonts w:cs="Arial"/>
          <w:b/>
          <w:noProof/>
          <w:sz w:val="28"/>
          <w:szCs w:val="28"/>
        </w:rPr>
        <w:t>r</w:t>
      </w:r>
      <w:r w:rsidRPr="00133B17">
        <w:rPr>
          <w:rFonts w:cs="Arial"/>
          <w:b/>
          <w:noProof/>
          <w:sz w:val="28"/>
          <w:szCs w:val="28"/>
        </w:rPr>
        <w:t xml:space="preserve">ates and </w:t>
      </w:r>
      <w:r w:rsidR="00146434" w:rsidRPr="00133B17">
        <w:rPr>
          <w:rFonts w:cs="Arial"/>
          <w:b/>
          <w:noProof/>
          <w:sz w:val="28"/>
          <w:szCs w:val="28"/>
        </w:rPr>
        <w:t>e</w:t>
      </w:r>
      <w:r w:rsidRPr="00133B17">
        <w:rPr>
          <w:rFonts w:cs="Arial"/>
          <w:b/>
          <w:noProof/>
          <w:sz w:val="28"/>
          <w:szCs w:val="28"/>
        </w:rPr>
        <w:t xml:space="preserve">conomic </w:t>
      </w:r>
      <w:r w:rsidR="00146434" w:rsidRPr="00133B17">
        <w:rPr>
          <w:rFonts w:cs="Arial"/>
          <w:b/>
          <w:noProof/>
          <w:sz w:val="28"/>
          <w:szCs w:val="28"/>
        </w:rPr>
        <w:t>c</w:t>
      </w:r>
      <w:r w:rsidRPr="00133B17">
        <w:rPr>
          <w:rFonts w:cs="Arial"/>
          <w:b/>
          <w:noProof/>
          <w:sz w:val="28"/>
          <w:szCs w:val="28"/>
        </w:rPr>
        <w:t>ommentary</w:t>
      </w:r>
    </w:p>
    <w:p w:rsidR="00AB74F5" w:rsidRPr="003178FF" w:rsidRDefault="00AB74F5" w:rsidP="00AB74F5">
      <w:pPr>
        <w:ind w:left="567" w:hanging="567"/>
        <w:jc w:val="both"/>
        <w:rPr>
          <w:rFonts w:cs="Arial"/>
          <w:iCs/>
          <w:noProof/>
          <w:color w:val="0000FF"/>
          <w:sz w:val="22"/>
          <w:szCs w:val="22"/>
        </w:rPr>
      </w:pPr>
      <w:r w:rsidRPr="003178FF">
        <w:rPr>
          <w:rFonts w:cs="Arial"/>
          <w:iCs/>
          <w:szCs w:val="24"/>
          <w:lang w:val="en-US"/>
        </w:rPr>
        <w:t>4</w:t>
      </w:r>
      <w:r w:rsidR="00B32254">
        <w:rPr>
          <w:rFonts w:cs="Arial"/>
          <w:iCs/>
          <w:szCs w:val="24"/>
          <w:lang w:val="en-US"/>
        </w:rPr>
        <w:t>6</w:t>
      </w:r>
      <w:r w:rsidRPr="003178FF">
        <w:rPr>
          <w:rFonts w:cs="Arial"/>
          <w:iCs/>
          <w:szCs w:val="24"/>
          <w:lang w:val="en-US"/>
        </w:rPr>
        <w:t>.</w:t>
      </w:r>
      <w:r w:rsidR="00884597">
        <w:rPr>
          <w:rFonts w:cs="Arial"/>
          <w:iCs/>
          <w:szCs w:val="24"/>
          <w:lang w:val="en-US"/>
        </w:rPr>
        <w:tab/>
      </w:r>
      <w:r w:rsidRPr="003178FF">
        <w:rPr>
          <w:rFonts w:cs="Arial"/>
          <w:iCs/>
          <w:szCs w:val="24"/>
          <w:lang w:val="en-US"/>
        </w:rPr>
        <w:t xml:space="preserve">The Treasury Management Adviser has provided </w:t>
      </w:r>
      <w:r w:rsidR="00743813">
        <w:rPr>
          <w:rFonts w:cs="Arial"/>
          <w:iCs/>
          <w:szCs w:val="24"/>
          <w:lang w:val="en-US"/>
        </w:rPr>
        <w:t>a</w:t>
      </w:r>
      <w:r w:rsidRPr="003178FF">
        <w:rPr>
          <w:rFonts w:cs="Arial"/>
          <w:iCs/>
          <w:szCs w:val="24"/>
          <w:lang w:val="en-US"/>
        </w:rPr>
        <w:t xml:space="preserve"> commentary on the prospects for interest rates included as Appendix </w:t>
      </w:r>
      <w:r w:rsidR="00743813">
        <w:rPr>
          <w:rFonts w:cs="Arial"/>
          <w:iCs/>
          <w:szCs w:val="24"/>
          <w:lang w:val="en-US"/>
        </w:rPr>
        <w:t>D</w:t>
      </w:r>
      <w:r w:rsidRPr="003178FF">
        <w:rPr>
          <w:rFonts w:cs="Arial"/>
          <w:iCs/>
          <w:szCs w:val="24"/>
          <w:lang w:val="en-US"/>
        </w:rPr>
        <w:t xml:space="preserve"> and a</w:t>
      </w:r>
      <w:r w:rsidR="00743813">
        <w:rPr>
          <w:rFonts w:cs="Arial"/>
          <w:iCs/>
          <w:szCs w:val="24"/>
          <w:lang w:val="en-US"/>
        </w:rPr>
        <w:t>n</w:t>
      </w:r>
      <w:r w:rsidRPr="003178FF">
        <w:rPr>
          <w:rFonts w:cs="Arial"/>
          <w:iCs/>
          <w:szCs w:val="24"/>
          <w:lang w:val="en-US"/>
        </w:rPr>
        <w:t xml:space="preserve"> economic commentary included as Appendix </w:t>
      </w:r>
      <w:r w:rsidR="00152F17">
        <w:rPr>
          <w:rFonts w:cs="Arial"/>
          <w:iCs/>
          <w:szCs w:val="24"/>
          <w:lang w:val="en-US"/>
        </w:rPr>
        <w:t>E</w:t>
      </w:r>
      <w:r w:rsidRPr="003178FF">
        <w:rPr>
          <w:rFonts w:cs="Arial"/>
          <w:iCs/>
          <w:szCs w:val="24"/>
          <w:lang w:val="en-US"/>
        </w:rPr>
        <w:t>.</w:t>
      </w:r>
    </w:p>
    <w:p w:rsidR="00DA2B16" w:rsidRPr="00DA2B16" w:rsidRDefault="00DA2B16" w:rsidP="00DA2B16">
      <w:pPr>
        <w:spacing w:before="270" w:after="180"/>
        <w:jc w:val="both"/>
        <w:rPr>
          <w:rFonts w:cs="Arial"/>
          <w:b/>
          <w:noProof/>
          <w:sz w:val="28"/>
          <w:szCs w:val="28"/>
        </w:rPr>
      </w:pPr>
      <w:r w:rsidRPr="00DA2B16">
        <w:rPr>
          <w:rFonts w:cs="Arial"/>
          <w:b/>
          <w:noProof/>
          <w:sz w:val="28"/>
          <w:szCs w:val="28"/>
        </w:rPr>
        <w:t>3.</w:t>
      </w:r>
      <w:r w:rsidR="008D0892">
        <w:rPr>
          <w:rFonts w:cs="Arial"/>
          <w:b/>
          <w:noProof/>
          <w:sz w:val="28"/>
          <w:szCs w:val="28"/>
        </w:rPr>
        <w:t>4</w:t>
      </w:r>
      <w:r w:rsidRPr="00DA2B16">
        <w:rPr>
          <w:rFonts w:cs="Arial"/>
          <w:b/>
          <w:noProof/>
          <w:sz w:val="28"/>
          <w:szCs w:val="28"/>
        </w:rPr>
        <w:t xml:space="preserve"> Borrowing </w:t>
      </w:r>
      <w:r w:rsidR="00146434">
        <w:rPr>
          <w:rFonts w:cs="Arial"/>
          <w:b/>
          <w:noProof/>
          <w:sz w:val="28"/>
          <w:szCs w:val="28"/>
        </w:rPr>
        <w:t>s</w:t>
      </w:r>
      <w:r w:rsidRPr="00DA2B16">
        <w:rPr>
          <w:rFonts w:cs="Arial"/>
          <w:b/>
          <w:noProof/>
          <w:sz w:val="28"/>
          <w:szCs w:val="28"/>
        </w:rPr>
        <w:t>trategy</w:t>
      </w:r>
    </w:p>
    <w:p w:rsidR="00DA2B16" w:rsidRDefault="008C25BC" w:rsidP="00884597">
      <w:pPr>
        <w:ind w:left="567" w:hanging="567"/>
        <w:jc w:val="both"/>
        <w:rPr>
          <w:rFonts w:cs="Arial"/>
          <w:bCs/>
          <w:szCs w:val="24"/>
          <w:lang w:eastAsia="en-GB"/>
        </w:rPr>
      </w:pPr>
      <w:r>
        <w:rPr>
          <w:rFonts w:cs="Arial"/>
          <w:bCs/>
          <w:szCs w:val="24"/>
          <w:lang w:eastAsia="en-GB"/>
        </w:rPr>
        <w:t>4</w:t>
      </w:r>
      <w:r w:rsidR="00B32254">
        <w:rPr>
          <w:rFonts w:cs="Arial"/>
          <w:bCs/>
          <w:szCs w:val="24"/>
          <w:lang w:eastAsia="en-GB"/>
        </w:rPr>
        <w:t>7</w:t>
      </w:r>
      <w:r w:rsidR="00DA2B16" w:rsidRPr="00DA2B16">
        <w:rPr>
          <w:rFonts w:cs="Arial"/>
          <w:bCs/>
          <w:szCs w:val="24"/>
          <w:lang w:eastAsia="en-GB"/>
        </w:rPr>
        <w:t>.</w:t>
      </w:r>
      <w:r w:rsidR="00884597">
        <w:rPr>
          <w:rFonts w:cs="Arial"/>
          <w:bCs/>
          <w:szCs w:val="24"/>
          <w:lang w:eastAsia="en-GB"/>
        </w:rPr>
        <w:tab/>
      </w:r>
      <w:r w:rsidR="00DA2B16" w:rsidRPr="006D3AA3">
        <w:rPr>
          <w:rFonts w:cs="Arial"/>
          <w:bCs/>
          <w:szCs w:val="24"/>
          <w:lang w:eastAsia="en-GB"/>
        </w:rPr>
        <w:t xml:space="preserve">As shown in Table </w:t>
      </w:r>
      <w:r w:rsidR="001D69CF" w:rsidRPr="006D3AA3">
        <w:rPr>
          <w:rFonts w:cs="Arial"/>
          <w:bCs/>
          <w:szCs w:val="24"/>
          <w:lang w:eastAsia="en-GB"/>
        </w:rPr>
        <w:t>5</w:t>
      </w:r>
      <w:r w:rsidR="00DA2B16" w:rsidRPr="00CB4A66">
        <w:rPr>
          <w:rFonts w:cs="Arial"/>
          <w:bCs/>
          <w:szCs w:val="24"/>
          <w:lang w:eastAsia="en-GB"/>
        </w:rPr>
        <w:t xml:space="preserve"> above, currently the Council has a debt portfolio of £3</w:t>
      </w:r>
      <w:r w:rsidR="006D5DA7">
        <w:rPr>
          <w:rFonts w:cs="Arial"/>
          <w:bCs/>
          <w:szCs w:val="24"/>
          <w:lang w:eastAsia="en-GB"/>
        </w:rPr>
        <w:t>4</w:t>
      </w:r>
      <w:r w:rsidR="00250961" w:rsidRPr="00CB4A66">
        <w:rPr>
          <w:rFonts w:cs="Arial"/>
          <w:bCs/>
          <w:szCs w:val="24"/>
          <w:lang w:eastAsia="en-GB"/>
        </w:rPr>
        <w:t>0</w:t>
      </w:r>
      <w:r w:rsidR="00DA2B16" w:rsidRPr="00CB4A66">
        <w:rPr>
          <w:rFonts w:cs="Arial"/>
          <w:bCs/>
          <w:szCs w:val="24"/>
          <w:lang w:eastAsia="en-GB"/>
        </w:rPr>
        <w:t>m</w:t>
      </w:r>
      <w:r w:rsidR="00DA2B16" w:rsidRPr="006D3AA3">
        <w:rPr>
          <w:rFonts w:cs="Arial"/>
          <w:bCs/>
          <w:szCs w:val="24"/>
          <w:lang w:eastAsia="en-GB"/>
        </w:rPr>
        <w:t>, mainly long term, with an average maturity of 3</w:t>
      </w:r>
      <w:r w:rsidR="007F0CE3" w:rsidRPr="00CB4A66">
        <w:rPr>
          <w:rFonts w:cs="Arial"/>
          <w:bCs/>
          <w:szCs w:val="24"/>
          <w:lang w:eastAsia="en-GB"/>
        </w:rPr>
        <w:t>5</w:t>
      </w:r>
      <w:r w:rsidR="00DA2B16" w:rsidRPr="00CB4A66">
        <w:rPr>
          <w:rFonts w:cs="Arial"/>
          <w:bCs/>
          <w:szCs w:val="24"/>
          <w:lang w:eastAsia="en-GB"/>
        </w:rPr>
        <w:t xml:space="preserve"> years assuming no early repayment of the</w:t>
      </w:r>
      <w:r w:rsidR="00EA4EE6" w:rsidRPr="00CB4A66">
        <w:rPr>
          <w:rFonts w:cs="Arial"/>
          <w:bCs/>
          <w:szCs w:val="24"/>
          <w:lang w:eastAsia="en-GB"/>
        </w:rPr>
        <w:t xml:space="preserve"> LOBO loans. </w:t>
      </w:r>
      <w:r w:rsidR="003E2E40" w:rsidRPr="00CB4A66">
        <w:rPr>
          <w:rFonts w:cs="Arial"/>
          <w:szCs w:val="24"/>
        </w:rPr>
        <w:t>Adjusting LOBO loans maturity in line with the next interest reset date reduces the average maturity to 2</w:t>
      </w:r>
      <w:r w:rsidR="007F0CE3" w:rsidRPr="00CB4A66">
        <w:rPr>
          <w:rFonts w:cs="Arial"/>
          <w:szCs w:val="24"/>
        </w:rPr>
        <w:t>5</w:t>
      </w:r>
      <w:r w:rsidR="003E2E40" w:rsidRPr="00CB4A66">
        <w:rPr>
          <w:rFonts w:cs="Arial"/>
          <w:szCs w:val="24"/>
        </w:rPr>
        <w:t xml:space="preserve"> years. </w:t>
      </w:r>
      <w:r w:rsidR="00EA4EE6" w:rsidRPr="00CB4A66">
        <w:rPr>
          <w:rFonts w:cs="Arial"/>
          <w:bCs/>
          <w:szCs w:val="24"/>
          <w:lang w:eastAsia="en-GB"/>
        </w:rPr>
        <w:t>Cash balances</w:t>
      </w:r>
      <w:r w:rsidR="00DA2B16" w:rsidRPr="00CB4A66">
        <w:rPr>
          <w:rFonts w:cs="Arial"/>
          <w:bCs/>
          <w:szCs w:val="24"/>
          <w:lang w:eastAsia="en-GB"/>
        </w:rPr>
        <w:t xml:space="preserve"> at 31 December 201</w:t>
      </w:r>
      <w:r w:rsidR="003E2033" w:rsidRPr="00CB4A66">
        <w:rPr>
          <w:rFonts w:cs="Arial"/>
          <w:bCs/>
          <w:szCs w:val="24"/>
          <w:lang w:eastAsia="en-GB"/>
        </w:rPr>
        <w:t>7</w:t>
      </w:r>
      <w:r w:rsidR="00DA2B16" w:rsidRPr="00CB4A66">
        <w:rPr>
          <w:rFonts w:cs="Arial"/>
          <w:bCs/>
          <w:szCs w:val="24"/>
          <w:lang w:eastAsia="en-GB"/>
        </w:rPr>
        <w:t xml:space="preserve"> were £</w:t>
      </w:r>
      <w:r w:rsidR="00EF51F5" w:rsidRPr="00CB4A66">
        <w:rPr>
          <w:rFonts w:cs="Arial"/>
          <w:bCs/>
          <w:szCs w:val="24"/>
          <w:lang w:eastAsia="en-GB"/>
        </w:rPr>
        <w:t>47</w:t>
      </w:r>
      <w:r w:rsidR="00EA4EE6" w:rsidRPr="00CB4A66">
        <w:rPr>
          <w:rFonts w:cs="Arial"/>
          <w:bCs/>
          <w:szCs w:val="24"/>
          <w:lang w:eastAsia="en-GB"/>
        </w:rPr>
        <w:t>.1m</w:t>
      </w:r>
      <w:r w:rsidR="00DA2B16" w:rsidRPr="006D3AA3">
        <w:rPr>
          <w:rFonts w:cs="Arial"/>
          <w:bCs/>
          <w:szCs w:val="24"/>
          <w:lang w:eastAsia="en-GB"/>
        </w:rPr>
        <w:t xml:space="preserve">. With the investment portfolio yielding </w:t>
      </w:r>
      <w:r w:rsidR="00EA4EE6" w:rsidRPr="00CB4A66">
        <w:rPr>
          <w:rFonts w:cs="Arial"/>
          <w:bCs/>
          <w:szCs w:val="24"/>
          <w:lang w:eastAsia="en-GB"/>
        </w:rPr>
        <w:t>only 0.</w:t>
      </w:r>
      <w:r w:rsidR="00E75917">
        <w:rPr>
          <w:rFonts w:cs="Arial"/>
          <w:bCs/>
          <w:szCs w:val="24"/>
          <w:lang w:eastAsia="en-GB"/>
        </w:rPr>
        <w:t>22</w:t>
      </w:r>
      <w:r w:rsidR="00DA2B16" w:rsidRPr="00CB4A66">
        <w:rPr>
          <w:rFonts w:cs="Arial"/>
          <w:bCs/>
          <w:szCs w:val="24"/>
          <w:lang w:eastAsia="en-GB"/>
        </w:rPr>
        <w:t>%</w:t>
      </w:r>
      <w:r w:rsidR="00DA2B16" w:rsidRPr="006D3AA3">
        <w:rPr>
          <w:rFonts w:cs="Arial"/>
          <w:bCs/>
          <w:szCs w:val="24"/>
          <w:lang w:eastAsia="en-GB"/>
        </w:rPr>
        <w:t xml:space="preserve"> and the likely average cost of new debt </w:t>
      </w:r>
      <w:r w:rsidR="00EA4EE6" w:rsidRPr="00CB4A66">
        <w:rPr>
          <w:rFonts w:cs="Arial"/>
          <w:bCs/>
          <w:szCs w:val="24"/>
          <w:lang w:eastAsia="en-GB"/>
        </w:rPr>
        <w:t>2.6</w:t>
      </w:r>
      <w:r w:rsidR="00DA2B16" w:rsidRPr="00CB4A66">
        <w:rPr>
          <w:rFonts w:cs="Arial"/>
          <w:bCs/>
          <w:szCs w:val="24"/>
          <w:lang w:eastAsia="en-GB"/>
        </w:rPr>
        <w:t>%,</w:t>
      </w:r>
      <w:r w:rsidR="00DA2B16" w:rsidRPr="006D3AA3">
        <w:rPr>
          <w:rFonts w:cs="Arial"/>
          <w:bCs/>
          <w:szCs w:val="24"/>
          <w:lang w:eastAsia="en-GB"/>
        </w:rPr>
        <w:t xml:space="preserve"> there is a substantial short term cost </w:t>
      </w:r>
      <w:r w:rsidR="00152F17" w:rsidRPr="006D3AA3">
        <w:rPr>
          <w:rFonts w:cs="Arial"/>
          <w:bCs/>
          <w:szCs w:val="24"/>
          <w:lang w:eastAsia="en-GB"/>
        </w:rPr>
        <w:t>of</w:t>
      </w:r>
      <w:r w:rsidR="00DA2B16" w:rsidRPr="00CB4A66">
        <w:rPr>
          <w:rFonts w:cs="Arial"/>
          <w:bCs/>
          <w:szCs w:val="24"/>
          <w:lang w:eastAsia="en-GB"/>
        </w:rPr>
        <w:t xml:space="preserve"> carrying excessive debt.</w:t>
      </w:r>
      <w:r w:rsidR="00DA2B16" w:rsidRPr="00DA2B16">
        <w:rPr>
          <w:rFonts w:cs="Arial"/>
          <w:bCs/>
          <w:szCs w:val="24"/>
          <w:lang w:eastAsia="en-GB"/>
        </w:rPr>
        <w:t xml:space="preserve">  </w:t>
      </w:r>
    </w:p>
    <w:p w:rsidR="00DA2B16" w:rsidRPr="00DA2B16" w:rsidRDefault="008C25BC" w:rsidP="00884597">
      <w:pPr>
        <w:numPr>
          <w:ilvl w:val="12"/>
          <w:numId w:val="0"/>
        </w:numPr>
        <w:spacing w:before="90"/>
        <w:ind w:left="567" w:hanging="567"/>
        <w:jc w:val="both"/>
        <w:rPr>
          <w:rFonts w:cs="Arial"/>
          <w:noProof/>
          <w:szCs w:val="24"/>
        </w:rPr>
      </w:pPr>
      <w:r>
        <w:rPr>
          <w:rFonts w:cs="Arial"/>
          <w:iCs/>
          <w:szCs w:val="24"/>
        </w:rPr>
        <w:lastRenderedPageBreak/>
        <w:t>4</w:t>
      </w:r>
      <w:r w:rsidR="00B32254">
        <w:rPr>
          <w:rFonts w:cs="Arial"/>
          <w:iCs/>
          <w:szCs w:val="24"/>
        </w:rPr>
        <w:t>8</w:t>
      </w:r>
      <w:r w:rsidR="00DA2B16" w:rsidRPr="00DA2B16">
        <w:rPr>
          <w:rFonts w:cs="Arial"/>
          <w:iCs/>
          <w:szCs w:val="24"/>
        </w:rPr>
        <w:t>.</w:t>
      </w:r>
      <w:r w:rsidR="00884597">
        <w:rPr>
          <w:rFonts w:cs="Arial"/>
          <w:iCs/>
          <w:szCs w:val="24"/>
        </w:rPr>
        <w:tab/>
      </w:r>
      <w:r w:rsidR="00DA2B16" w:rsidRPr="003178FF">
        <w:rPr>
          <w:rFonts w:cs="Arial"/>
          <w:iCs/>
          <w:szCs w:val="24"/>
        </w:rPr>
        <w:t>As shown in Table</w:t>
      </w:r>
      <w:r w:rsidR="00DA2B16" w:rsidRPr="00DA2B16">
        <w:rPr>
          <w:rFonts w:cs="Arial"/>
          <w:iCs/>
          <w:szCs w:val="24"/>
        </w:rPr>
        <w:t xml:space="preserve"> </w:t>
      </w:r>
      <w:r w:rsidR="001D69CF">
        <w:rPr>
          <w:rFonts w:cs="Arial"/>
          <w:iCs/>
          <w:szCs w:val="24"/>
        </w:rPr>
        <w:t>5</w:t>
      </w:r>
      <w:r w:rsidR="00DA2B16" w:rsidRPr="00DA2B16">
        <w:rPr>
          <w:rFonts w:cs="Arial"/>
          <w:iCs/>
          <w:szCs w:val="24"/>
        </w:rPr>
        <w:t xml:space="preserve"> </w:t>
      </w:r>
      <w:r w:rsidR="00DA2B16" w:rsidRPr="003178FF">
        <w:rPr>
          <w:rFonts w:cs="Arial"/>
          <w:iCs/>
          <w:szCs w:val="24"/>
        </w:rPr>
        <w:t>above t</w:t>
      </w:r>
      <w:r w:rsidR="00DA2B16" w:rsidRPr="003178FF">
        <w:rPr>
          <w:rFonts w:cs="Arial"/>
          <w:noProof/>
          <w:szCs w:val="24"/>
        </w:rPr>
        <w:t>he Council is currently maintaining an under-borrowed position.</w:t>
      </w:r>
      <w:r w:rsidR="00884597">
        <w:rPr>
          <w:rFonts w:cs="Arial"/>
          <w:noProof/>
          <w:szCs w:val="24"/>
        </w:rPr>
        <w:t xml:space="preserve"> </w:t>
      </w:r>
      <w:r w:rsidR="00DA2B16" w:rsidRPr="003178FF">
        <w:rPr>
          <w:rFonts w:cs="Arial"/>
          <w:noProof/>
          <w:szCs w:val="24"/>
        </w:rPr>
        <w:t xml:space="preserve">This means that the capital borrowing need (CFR), has not been fully funded with loan debt as cash supporting the Council’s reserves, balances and cash flow has been used as a temporary source of funding. This strategy is prudent with investment returns low and counterparty risk </w:t>
      </w:r>
      <w:r w:rsidR="007365EC" w:rsidRPr="003178FF">
        <w:rPr>
          <w:rFonts w:cs="Arial"/>
          <w:noProof/>
          <w:szCs w:val="24"/>
        </w:rPr>
        <w:t>is still an issue to be considered.</w:t>
      </w:r>
    </w:p>
    <w:p w:rsidR="00DA2B16" w:rsidRPr="00DA2B16" w:rsidRDefault="00DA2B16" w:rsidP="00884597">
      <w:pPr>
        <w:numPr>
          <w:ilvl w:val="12"/>
          <w:numId w:val="0"/>
        </w:numPr>
        <w:spacing w:before="90"/>
        <w:ind w:left="567" w:hanging="567"/>
        <w:jc w:val="both"/>
        <w:rPr>
          <w:rFonts w:cs="Arial"/>
          <w:noProof/>
          <w:szCs w:val="24"/>
        </w:rPr>
      </w:pPr>
    </w:p>
    <w:p w:rsidR="00DA2B16" w:rsidRDefault="00B32254" w:rsidP="00884597">
      <w:pPr>
        <w:ind w:left="567" w:hanging="567"/>
        <w:jc w:val="both"/>
        <w:rPr>
          <w:rFonts w:cs="Arial"/>
          <w:bCs/>
          <w:szCs w:val="24"/>
          <w:lang w:eastAsia="en-GB"/>
        </w:rPr>
      </w:pPr>
      <w:r>
        <w:rPr>
          <w:rFonts w:cs="Arial"/>
          <w:bCs/>
          <w:szCs w:val="24"/>
          <w:lang w:eastAsia="en-GB"/>
        </w:rPr>
        <w:t>49</w:t>
      </w:r>
      <w:r w:rsidR="00DA2B16" w:rsidRPr="003178FF">
        <w:rPr>
          <w:rFonts w:cs="Arial"/>
          <w:bCs/>
          <w:szCs w:val="24"/>
          <w:lang w:eastAsia="en-GB"/>
        </w:rPr>
        <w:t>.</w:t>
      </w:r>
      <w:r w:rsidR="00884597">
        <w:rPr>
          <w:rFonts w:cs="Arial"/>
          <w:bCs/>
          <w:szCs w:val="24"/>
          <w:lang w:eastAsia="en-GB"/>
        </w:rPr>
        <w:tab/>
      </w:r>
      <w:r w:rsidR="00DA2B16" w:rsidRPr="003178FF">
        <w:rPr>
          <w:rFonts w:cs="Arial"/>
          <w:bCs/>
          <w:szCs w:val="24"/>
        </w:rPr>
        <w:t>However, with the reduction in cash balances and the likelihood that they will be further reduced by the end of 201</w:t>
      </w:r>
      <w:r w:rsidR="003E2033">
        <w:rPr>
          <w:rFonts w:cs="Arial"/>
          <w:bCs/>
          <w:szCs w:val="24"/>
        </w:rPr>
        <w:t>7</w:t>
      </w:r>
      <w:r w:rsidR="00DA2B16" w:rsidRPr="003178FF">
        <w:rPr>
          <w:rFonts w:cs="Arial"/>
          <w:bCs/>
          <w:szCs w:val="24"/>
        </w:rPr>
        <w:t>/1</w:t>
      </w:r>
      <w:r w:rsidR="003E2033">
        <w:rPr>
          <w:rFonts w:cs="Arial"/>
          <w:bCs/>
          <w:szCs w:val="24"/>
        </w:rPr>
        <w:t>8</w:t>
      </w:r>
      <w:r w:rsidR="00DA2B16" w:rsidRPr="003178FF">
        <w:rPr>
          <w:rFonts w:cs="Arial"/>
          <w:bCs/>
          <w:szCs w:val="24"/>
        </w:rPr>
        <w:t xml:space="preserve"> much of the increased capital programme in the next few years will need to be funded from </w:t>
      </w:r>
      <w:r w:rsidR="00DA2B16" w:rsidRPr="006D3AA3">
        <w:rPr>
          <w:rFonts w:cs="Arial"/>
          <w:bCs/>
          <w:szCs w:val="24"/>
        </w:rPr>
        <w:t>bo</w:t>
      </w:r>
      <w:r w:rsidR="00DA2B16" w:rsidRPr="00CB4A66">
        <w:rPr>
          <w:rFonts w:cs="Arial"/>
          <w:bCs/>
          <w:szCs w:val="24"/>
        </w:rPr>
        <w:t xml:space="preserve">rrowing. As shown in Table </w:t>
      </w:r>
      <w:r w:rsidR="001D69CF" w:rsidRPr="00CB4A66">
        <w:rPr>
          <w:rFonts w:cs="Arial"/>
          <w:bCs/>
          <w:szCs w:val="24"/>
        </w:rPr>
        <w:t>5</w:t>
      </w:r>
      <w:r w:rsidR="00DA2B16" w:rsidRPr="00CB4A66">
        <w:rPr>
          <w:rFonts w:cs="Arial"/>
          <w:bCs/>
          <w:szCs w:val="24"/>
        </w:rPr>
        <w:t xml:space="preserve"> above, it is currently estimated that sums of £</w:t>
      </w:r>
      <w:r w:rsidR="009C0428">
        <w:rPr>
          <w:rFonts w:cs="Arial"/>
          <w:bCs/>
          <w:szCs w:val="24"/>
        </w:rPr>
        <w:t>112</w:t>
      </w:r>
      <w:r w:rsidR="00EF51F5" w:rsidRPr="00CB4A66">
        <w:rPr>
          <w:rFonts w:cs="Arial"/>
          <w:bCs/>
          <w:szCs w:val="24"/>
        </w:rPr>
        <w:t>m</w:t>
      </w:r>
      <w:r w:rsidR="00DA2B16" w:rsidRPr="00CB4A66">
        <w:rPr>
          <w:rFonts w:cs="Arial"/>
          <w:bCs/>
          <w:szCs w:val="24"/>
        </w:rPr>
        <w:t>,</w:t>
      </w:r>
      <w:r w:rsidR="0043543F" w:rsidRPr="00CB4A66">
        <w:rPr>
          <w:rFonts w:cs="Arial"/>
          <w:bCs/>
          <w:szCs w:val="24"/>
        </w:rPr>
        <w:t xml:space="preserve"> </w:t>
      </w:r>
      <w:r w:rsidR="007A64E8" w:rsidRPr="00CB4A66">
        <w:rPr>
          <w:rFonts w:cs="Arial"/>
          <w:bCs/>
          <w:szCs w:val="24"/>
        </w:rPr>
        <w:t>and £</w:t>
      </w:r>
      <w:r w:rsidR="009C0428">
        <w:rPr>
          <w:rFonts w:cs="Arial"/>
          <w:bCs/>
          <w:szCs w:val="24"/>
        </w:rPr>
        <w:t>172</w:t>
      </w:r>
      <w:r w:rsidR="00EF51F5" w:rsidRPr="00CB4A66">
        <w:rPr>
          <w:rFonts w:cs="Arial"/>
          <w:bCs/>
          <w:szCs w:val="24"/>
        </w:rPr>
        <w:t xml:space="preserve">m </w:t>
      </w:r>
      <w:r w:rsidR="00DA2B16" w:rsidRPr="00CB4A66">
        <w:rPr>
          <w:rFonts w:cs="Arial"/>
          <w:bCs/>
          <w:szCs w:val="24"/>
        </w:rPr>
        <w:t xml:space="preserve">will need to be borrowed in the next </w:t>
      </w:r>
      <w:r w:rsidR="00637E1F">
        <w:rPr>
          <w:rFonts w:cs="Arial"/>
          <w:bCs/>
          <w:szCs w:val="24"/>
        </w:rPr>
        <w:t>two</w:t>
      </w:r>
      <w:r w:rsidR="00DA2B16" w:rsidRPr="00CB4A66">
        <w:rPr>
          <w:rFonts w:cs="Arial"/>
          <w:bCs/>
          <w:szCs w:val="24"/>
        </w:rPr>
        <w:t xml:space="preserve"> years</w:t>
      </w:r>
      <w:r w:rsidR="007A64E8" w:rsidRPr="00CB4A66">
        <w:rPr>
          <w:rFonts w:cs="Arial"/>
          <w:bCs/>
          <w:szCs w:val="24"/>
        </w:rPr>
        <w:t>.</w:t>
      </w:r>
      <w:r w:rsidR="00DA2B16" w:rsidRPr="00CB4A66">
        <w:rPr>
          <w:rFonts w:cs="Arial"/>
          <w:bCs/>
          <w:szCs w:val="24"/>
        </w:rPr>
        <w:t xml:space="preserve"> </w:t>
      </w:r>
      <w:r w:rsidR="00DA2B16" w:rsidRPr="00CB4A66">
        <w:rPr>
          <w:rFonts w:cs="Arial"/>
          <w:bCs/>
        </w:rPr>
        <w:t>The Council will have a range</w:t>
      </w:r>
      <w:r w:rsidR="00DA2B16" w:rsidRPr="006D3AA3">
        <w:rPr>
          <w:rFonts w:cs="Arial"/>
          <w:bCs/>
        </w:rPr>
        <w:t xml:space="preserve"> of</w:t>
      </w:r>
      <w:r w:rsidR="00DA2B16" w:rsidRPr="003178FF">
        <w:rPr>
          <w:rFonts w:cs="Arial"/>
          <w:bCs/>
        </w:rPr>
        <w:t xml:space="preserve"> funding sources available and will need to base its decisions on optimum borrowing times and periods taking into account current interest rates and likely future movements and the “cost of carry” (difference between rates for borrowing and rates for investments) which currently remain</w:t>
      </w:r>
      <w:r w:rsidR="007F0CE3">
        <w:rPr>
          <w:rFonts w:cs="Arial"/>
          <w:bCs/>
        </w:rPr>
        <w:t>s</w:t>
      </w:r>
      <w:r w:rsidR="00DA2B16" w:rsidRPr="003178FF">
        <w:rPr>
          <w:rFonts w:cs="Arial"/>
          <w:bCs/>
        </w:rPr>
        <w:t xml:space="preserve"> high. A strategy is being dev</w:t>
      </w:r>
      <w:r w:rsidR="007365EC" w:rsidRPr="003178FF">
        <w:rPr>
          <w:rFonts w:cs="Arial"/>
          <w:bCs/>
        </w:rPr>
        <w:t>eloped</w:t>
      </w:r>
      <w:r w:rsidR="00DA2B16" w:rsidRPr="003178FF">
        <w:rPr>
          <w:rFonts w:cs="Arial"/>
          <w:bCs/>
        </w:rPr>
        <w:t xml:space="preserve"> in consultation with the Treasury Management Adviser. </w:t>
      </w:r>
      <w:r w:rsidR="00DA2B16" w:rsidRPr="003178FF">
        <w:rPr>
          <w:rFonts w:cs="Arial"/>
          <w:bCs/>
          <w:szCs w:val="24"/>
        </w:rPr>
        <w:t>It is also possible</w:t>
      </w:r>
      <w:r w:rsidR="007A2071" w:rsidRPr="003178FF">
        <w:rPr>
          <w:rFonts w:cs="Arial"/>
          <w:bCs/>
          <w:szCs w:val="24"/>
        </w:rPr>
        <w:t>, but unlikely,</w:t>
      </w:r>
      <w:r w:rsidR="00DA2B16" w:rsidRPr="003178FF">
        <w:rPr>
          <w:rFonts w:cs="Arial"/>
          <w:bCs/>
          <w:szCs w:val="24"/>
        </w:rPr>
        <w:t xml:space="preserve"> that new long term borrowing in the next three years might be required if part of the LOBO portfolio ha</w:t>
      </w:r>
      <w:r w:rsidR="007F0CE3">
        <w:rPr>
          <w:rFonts w:cs="Arial"/>
          <w:bCs/>
          <w:szCs w:val="24"/>
        </w:rPr>
        <w:t>s</w:t>
      </w:r>
      <w:r w:rsidR="00DA2B16" w:rsidRPr="003178FF">
        <w:rPr>
          <w:rFonts w:cs="Arial"/>
          <w:bCs/>
          <w:szCs w:val="24"/>
        </w:rPr>
        <w:t xml:space="preserve"> to be refinanced early.</w:t>
      </w:r>
      <w:r w:rsidR="00DA2B16" w:rsidRPr="00DA2B16">
        <w:rPr>
          <w:rFonts w:cs="Arial"/>
          <w:bCs/>
          <w:szCs w:val="24"/>
          <w:lang w:eastAsia="en-GB"/>
        </w:rPr>
        <w:t xml:space="preserve"> </w:t>
      </w:r>
    </w:p>
    <w:p w:rsidR="00EE352B" w:rsidRDefault="00EE352B" w:rsidP="00DA2B16">
      <w:pPr>
        <w:ind w:left="426" w:hanging="426"/>
        <w:jc w:val="both"/>
        <w:rPr>
          <w:rFonts w:cs="Arial"/>
          <w:bCs/>
          <w:szCs w:val="24"/>
          <w:lang w:eastAsia="en-GB"/>
        </w:rPr>
      </w:pPr>
    </w:p>
    <w:p w:rsidR="00DA2B16" w:rsidRDefault="00DA2B16" w:rsidP="00884597">
      <w:pPr>
        <w:ind w:left="567" w:hanging="567"/>
        <w:jc w:val="both"/>
        <w:rPr>
          <w:rFonts w:cs="Arial"/>
          <w:bCs/>
          <w:szCs w:val="24"/>
        </w:rPr>
      </w:pPr>
      <w:r w:rsidRPr="00DA2B16">
        <w:rPr>
          <w:rFonts w:cs="Arial"/>
          <w:bCs/>
          <w:szCs w:val="24"/>
          <w:lang w:eastAsia="en-GB"/>
        </w:rPr>
        <w:t>5</w:t>
      </w:r>
      <w:r w:rsidR="00B32254">
        <w:rPr>
          <w:rFonts w:cs="Arial"/>
          <w:bCs/>
          <w:szCs w:val="24"/>
          <w:lang w:eastAsia="en-GB"/>
        </w:rPr>
        <w:t>0</w:t>
      </w:r>
      <w:r w:rsidRPr="00DA2B16">
        <w:rPr>
          <w:rFonts w:cs="Arial"/>
          <w:bCs/>
          <w:szCs w:val="24"/>
          <w:lang w:eastAsia="en-GB"/>
        </w:rPr>
        <w:t>.</w:t>
      </w:r>
      <w:r w:rsidR="00884597">
        <w:rPr>
          <w:rFonts w:cs="Arial"/>
          <w:bCs/>
          <w:szCs w:val="24"/>
          <w:lang w:eastAsia="en-GB"/>
        </w:rPr>
        <w:tab/>
      </w:r>
      <w:r w:rsidRPr="007B3D79">
        <w:rPr>
          <w:rFonts w:cs="Arial"/>
          <w:bCs/>
          <w:szCs w:val="24"/>
          <w:lang w:eastAsia="en-GB"/>
        </w:rPr>
        <w:t xml:space="preserve">It may be necessary to resort to temporary </w:t>
      </w:r>
      <w:r w:rsidRPr="007B3D79">
        <w:rPr>
          <w:rFonts w:cs="Arial"/>
          <w:bCs/>
          <w:szCs w:val="24"/>
          <w:lang w:val="en-US"/>
        </w:rPr>
        <w:t>borrowing from the money markets or other local authorities to cover mismatches in timing between capital grants and payments.  However</w:t>
      </w:r>
      <w:r w:rsidR="007F0CE3">
        <w:rPr>
          <w:rFonts w:cs="Arial"/>
          <w:bCs/>
          <w:szCs w:val="24"/>
          <w:lang w:val="en-US"/>
        </w:rPr>
        <w:t>,</w:t>
      </w:r>
      <w:r w:rsidRPr="007B3D79">
        <w:rPr>
          <w:rFonts w:cs="Arial"/>
          <w:bCs/>
          <w:szCs w:val="24"/>
          <w:lang w:val="en-US"/>
        </w:rPr>
        <w:t xml:space="preserve"> with several Government grants now paid early in the financial year this is not very likely.</w:t>
      </w:r>
      <w:r w:rsidRPr="007B3D79">
        <w:rPr>
          <w:rFonts w:cs="Arial"/>
          <w:bCs/>
          <w:szCs w:val="24"/>
        </w:rPr>
        <w:t xml:space="preserve"> </w:t>
      </w:r>
    </w:p>
    <w:p w:rsidR="007A64E8" w:rsidRPr="007B3D79" w:rsidRDefault="007A64E8" w:rsidP="00884597">
      <w:pPr>
        <w:ind w:left="567" w:hanging="567"/>
        <w:jc w:val="both"/>
        <w:rPr>
          <w:rFonts w:cs="Arial"/>
          <w:bCs/>
          <w:szCs w:val="24"/>
          <w:lang w:val="en-US"/>
        </w:rPr>
      </w:pPr>
    </w:p>
    <w:p w:rsidR="007A2071" w:rsidRPr="007B3D79" w:rsidRDefault="00DA2B16" w:rsidP="00884597">
      <w:pPr>
        <w:ind w:left="567" w:hanging="567"/>
        <w:jc w:val="both"/>
        <w:rPr>
          <w:rFonts w:cs="Arial"/>
          <w:bCs/>
          <w:noProof/>
          <w:szCs w:val="24"/>
        </w:rPr>
      </w:pPr>
      <w:r w:rsidRPr="007B3D79">
        <w:rPr>
          <w:rFonts w:cs="Arial"/>
          <w:bCs/>
          <w:noProof/>
          <w:szCs w:val="24"/>
        </w:rPr>
        <w:t>5</w:t>
      </w:r>
      <w:r w:rsidR="00B32254">
        <w:rPr>
          <w:rFonts w:cs="Arial"/>
          <w:bCs/>
          <w:noProof/>
          <w:szCs w:val="24"/>
        </w:rPr>
        <w:t>1</w:t>
      </w:r>
      <w:r w:rsidRPr="007B3D79">
        <w:rPr>
          <w:rFonts w:cs="Arial"/>
          <w:bCs/>
          <w:noProof/>
          <w:szCs w:val="24"/>
        </w:rPr>
        <w:t>.</w:t>
      </w:r>
      <w:r w:rsidR="00884597">
        <w:rPr>
          <w:rFonts w:cs="Arial"/>
          <w:bCs/>
          <w:noProof/>
          <w:szCs w:val="24"/>
        </w:rPr>
        <w:tab/>
      </w:r>
      <w:r w:rsidRPr="007B3D79">
        <w:rPr>
          <w:rFonts w:cs="Arial"/>
          <w:bCs/>
          <w:noProof/>
          <w:szCs w:val="24"/>
        </w:rPr>
        <w:t xml:space="preserve">Against this background and the risks within the economic forecast, caution will be adopted </w:t>
      </w:r>
      <w:r w:rsidR="007F0CE3">
        <w:rPr>
          <w:rFonts w:cs="Arial"/>
          <w:bCs/>
          <w:noProof/>
          <w:szCs w:val="24"/>
        </w:rPr>
        <w:t>in</w:t>
      </w:r>
      <w:r w:rsidRPr="007B3D79">
        <w:rPr>
          <w:rFonts w:cs="Arial"/>
          <w:bCs/>
          <w:noProof/>
          <w:szCs w:val="24"/>
        </w:rPr>
        <w:t xml:space="preserve"> the 201</w:t>
      </w:r>
      <w:r w:rsidR="003E2033">
        <w:rPr>
          <w:rFonts w:cs="Arial"/>
          <w:bCs/>
          <w:noProof/>
          <w:szCs w:val="24"/>
        </w:rPr>
        <w:t>8</w:t>
      </w:r>
      <w:r w:rsidRPr="007B3D79">
        <w:rPr>
          <w:rFonts w:cs="Arial"/>
          <w:bCs/>
          <w:noProof/>
          <w:szCs w:val="24"/>
        </w:rPr>
        <w:t>/1</w:t>
      </w:r>
      <w:r w:rsidR="003E2033">
        <w:rPr>
          <w:rFonts w:cs="Arial"/>
          <w:bCs/>
          <w:noProof/>
          <w:szCs w:val="24"/>
        </w:rPr>
        <w:t>9</w:t>
      </w:r>
      <w:r w:rsidRPr="007B3D79">
        <w:rPr>
          <w:rFonts w:cs="Arial"/>
          <w:bCs/>
          <w:noProof/>
          <w:szCs w:val="24"/>
        </w:rPr>
        <w:t xml:space="preserve"> treasury management operations.  The Director of Finance will monitor interest rates in financial markets and adopt a pragmatic approach to changing circumstances</w:t>
      </w:r>
      <w:r w:rsidR="007A2071" w:rsidRPr="007B3D79">
        <w:rPr>
          <w:rFonts w:cs="Arial"/>
          <w:bCs/>
          <w:noProof/>
          <w:szCs w:val="24"/>
        </w:rPr>
        <w:t>:</w:t>
      </w:r>
    </w:p>
    <w:p w:rsidR="007A2071" w:rsidRPr="007B3D79" w:rsidRDefault="007A2071" w:rsidP="00DA2B16">
      <w:pPr>
        <w:ind w:left="374" w:hanging="374"/>
        <w:jc w:val="both"/>
        <w:rPr>
          <w:rFonts w:cs="Arial"/>
          <w:bCs/>
          <w:noProof/>
          <w:szCs w:val="24"/>
        </w:rPr>
      </w:pPr>
    </w:p>
    <w:p w:rsidR="007A2071" w:rsidRPr="007B3D79" w:rsidRDefault="007A2071" w:rsidP="00093DAC">
      <w:pPr>
        <w:numPr>
          <w:ilvl w:val="0"/>
          <w:numId w:val="25"/>
        </w:numPr>
        <w:ind w:left="1134" w:hanging="360"/>
        <w:jc w:val="both"/>
        <w:rPr>
          <w:rFonts w:cs="Arial"/>
          <w:szCs w:val="24"/>
        </w:rPr>
      </w:pPr>
      <w:r w:rsidRPr="007B3D79">
        <w:rPr>
          <w:rFonts w:cs="Arial"/>
          <w:szCs w:val="24"/>
        </w:rPr>
        <w:t>if it was felt that there was a significant risk of a sharp fall in long and short term rates (e.g. due to a marked increase of risks around relapse into recession or of risks of deflation), then long term borrowings will be postponed, and potential rescheduling from fixed rate funding into short term borrowing will be considered.</w:t>
      </w:r>
    </w:p>
    <w:p w:rsidR="007A2071" w:rsidRPr="007B3D79" w:rsidRDefault="007A2071" w:rsidP="00093DAC">
      <w:pPr>
        <w:ind w:left="1134" w:hanging="360"/>
        <w:jc w:val="both"/>
        <w:rPr>
          <w:rFonts w:cs="Arial"/>
          <w:szCs w:val="24"/>
        </w:rPr>
      </w:pPr>
    </w:p>
    <w:p w:rsidR="007A2071" w:rsidRPr="007B3D79" w:rsidRDefault="007A2071" w:rsidP="00093DAC">
      <w:pPr>
        <w:numPr>
          <w:ilvl w:val="0"/>
          <w:numId w:val="25"/>
        </w:numPr>
        <w:ind w:left="1134" w:hanging="360"/>
        <w:jc w:val="both"/>
        <w:rPr>
          <w:rFonts w:cs="Arial"/>
          <w:szCs w:val="24"/>
        </w:rPr>
      </w:pPr>
      <w:r w:rsidRPr="007B3D79">
        <w:rPr>
          <w:rFonts w:cs="Arial"/>
          <w:szCs w:val="24"/>
        </w:rPr>
        <w:t>if it was felt that there was a significant risk of a much sharper rise in long and short term rates than that currently forecast, perhaps arising from an acceleration in the start date and in the rate of increase in central rates in the USA and UK, an increase in world economic activity or a sudden increase in inflation risks, then the portfolio position will be re-appraised. Most likely, fixed rate funding will be drawn whilst interest rates are lower than they are projected to be in the next few years.</w:t>
      </w:r>
    </w:p>
    <w:p w:rsidR="007A2071" w:rsidRPr="007B3D79" w:rsidRDefault="007A2071" w:rsidP="00093DAC">
      <w:pPr>
        <w:ind w:left="1134" w:hanging="374"/>
        <w:jc w:val="both"/>
        <w:rPr>
          <w:rFonts w:cs="Arial"/>
          <w:bCs/>
          <w:noProof/>
          <w:szCs w:val="24"/>
        </w:rPr>
      </w:pPr>
    </w:p>
    <w:p w:rsidR="00DA2B16" w:rsidRDefault="00DA2B16" w:rsidP="00093DAC">
      <w:pPr>
        <w:ind w:left="567" w:hanging="567"/>
        <w:jc w:val="both"/>
        <w:rPr>
          <w:rFonts w:cs="Arial"/>
          <w:bCs/>
          <w:szCs w:val="24"/>
        </w:rPr>
      </w:pPr>
      <w:r w:rsidRPr="007B3D79">
        <w:rPr>
          <w:rFonts w:cs="Arial"/>
          <w:bCs/>
          <w:szCs w:val="24"/>
        </w:rPr>
        <w:t>5</w:t>
      </w:r>
      <w:r w:rsidR="00B32254">
        <w:rPr>
          <w:rFonts w:cs="Arial"/>
          <w:bCs/>
          <w:szCs w:val="24"/>
        </w:rPr>
        <w:t>2</w:t>
      </w:r>
      <w:r w:rsidRPr="007B3D79">
        <w:rPr>
          <w:rFonts w:cs="Arial"/>
          <w:bCs/>
          <w:szCs w:val="24"/>
        </w:rPr>
        <w:t>.</w:t>
      </w:r>
      <w:r w:rsidR="00093DAC">
        <w:rPr>
          <w:rFonts w:cs="Arial"/>
          <w:bCs/>
          <w:szCs w:val="24"/>
        </w:rPr>
        <w:tab/>
      </w:r>
      <w:r w:rsidRPr="007B3D79">
        <w:rPr>
          <w:rFonts w:cs="Arial"/>
          <w:bCs/>
          <w:szCs w:val="24"/>
        </w:rPr>
        <w:t>The Council has adopted a single pooled approach for debt.  Allocations to HRA are based on its CFR, with interest charged to HRA at the average rate on all external borrowing.  Longer term, the HRA’s ability to repay borrowing will depend on future revenues and the capital expenditure programme.</w:t>
      </w:r>
    </w:p>
    <w:p w:rsidR="00DA2B16" w:rsidRPr="00DA2B16" w:rsidRDefault="00093DAC" w:rsidP="00093DAC">
      <w:pPr>
        <w:spacing w:before="270" w:after="180"/>
        <w:jc w:val="both"/>
        <w:rPr>
          <w:rFonts w:cs="Arial"/>
          <w:b/>
          <w:noProof/>
          <w:sz w:val="28"/>
          <w:szCs w:val="28"/>
        </w:rPr>
      </w:pPr>
      <w:r>
        <w:rPr>
          <w:rFonts w:cs="Arial"/>
          <w:b/>
          <w:noProof/>
          <w:sz w:val="28"/>
          <w:szCs w:val="28"/>
        </w:rPr>
        <w:lastRenderedPageBreak/>
        <w:t xml:space="preserve">3.5 </w:t>
      </w:r>
      <w:r w:rsidR="00DA2B16" w:rsidRPr="00DA2B16">
        <w:rPr>
          <w:rFonts w:cs="Arial"/>
          <w:b/>
          <w:noProof/>
          <w:sz w:val="28"/>
          <w:szCs w:val="28"/>
        </w:rPr>
        <w:t xml:space="preserve">Treasury </w:t>
      </w:r>
      <w:r w:rsidR="00146434">
        <w:rPr>
          <w:rFonts w:cs="Arial"/>
          <w:b/>
          <w:noProof/>
          <w:sz w:val="28"/>
          <w:szCs w:val="28"/>
        </w:rPr>
        <w:t>m</w:t>
      </w:r>
      <w:r w:rsidR="00DA2B16" w:rsidRPr="00DA2B16">
        <w:rPr>
          <w:rFonts w:cs="Arial"/>
          <w:b/>
          <w:noProof/>
          <w:sz w:val="28"/>
          <w:szCs w:val="28"/>
        </w:rPr>
        <w:t xml:space="preserve">anagement </w:t>
      </w:r>
      <w:r w:rsidR="00146434">
        <w:rPr>
          <w:rFonts w:cs="Arial"/>
          <w:b/>
          <w:noProof/>
          <w:sz w:val="28"/>
          <w:szCs w:val="28"/>
        </w:rPr>
        <w:t>l</w:t>
      </w:r>
      <w:r w:rsidR="00DA2B16" w:rsidRPr="00DA2B16">
        <w:rPr>
          <w:rFonts w:cs="Arial"/>
          <w:b/>
          <w:noProof/>
          <w:sz w:val="28"/>
          <w:szCs w:val="28"/>
        </w:rPr>
        <w:t xml:space="preserve">imits on </w:t>
      </w:r>
      <w:r w:rsidR="00146434">
        <w:rPr>
          <w:rFonts w:cs="Arial"/>
          <w:b/>
          <w:noProof/>
          <w:sz w:val="28"/>
          <w:szCs w:val="28"/>
        </w:rPr>
        <w:t>a</w:t>
      </w:r>
      <w:r w:rsidR="00DA2B16" w:rsidRPr="00DA2B16">
        <w:rPr>
          <w:rFonts w:cs="Arial"/>
          <w:b/>
          <w:noProof/>
          <w:sz w:val="28"/>
          <w:szCs w:val="28"/>
        </w:rPr>
        <w:t>ctivity</w:t>
      </w:r>
    </w:p>
    <w:p w:rsidR="00DA2B16" w:rsidRPr="00DA2B16" w:rsidRDefault="00DA2B16" w:rsidP="00093DAC">
      <w:pPr>
        <w:spacing w:after="120"/>
        <w:ind w:left="567" w:hanging="567"/>
        <w:jc w:val="both"/>
        <w:rPr>
          <w:rFonts w:cs="Arial"/>
          <w:iCs/>
          <w:szCs w:val="24"/>
        </w:rPr>
      </w:pPr>
      <w:r w:rsidRPr="00DA2B16">
        <w:rPr>
          <w:rFonts w:cs="Arial"/>
          <w:iCs/>
          <w:szCs w:val="24"/>
        </w:rPr>
        <w:t>5</w:t>
      </w:r>
      <w:r w:rsidR="00B32254">
        <w:rPr>
          <w:rFonts w:cs="Arial"/>
          <w:iCs/>
          <w:szCs w:val="24"/>
        </w:rPr>
        <w:t>3</w:t>
      </w:r>
      <w:r w:rsidRPr="00DA2B16">
        <w:rPr>
          <w:rFonts w:cs="Arial"/>
          <w:iCs/>
          <w:szCs w:val="24"/>
        </w:rPr>
        <w:t>.</w:t>
      </w:r>
      <w:r w:rsidR="00093DAC">
        <w:rPr>
          <w:rFonts w:cs="Arial"/>
          <w:iCs/>
          <w:szCs w:val="24"/>
        </w:rPr>
        <w:tab/>
      </w:r>
      <w:r w:rsidRPr="00DA2B16">
        <w:rPr>
          <w:rFonts w:cs="Arial"/>
          <w:iCs/>
          <w:szCs w:val="24"/>
        </w:rPr>
        <w:t>There are three debt related treasury activity limits.</w:t>
      </w:r>
      <w:r w:rsidR="001B02EA">
        <w:rPr>
          <w:rFonts w:cs="Arial"/>
          <w:iCs/>
          <w:szCs w:val="24"/>
        </w:rPr>
        <w:t xml:space="preserve"> </w:t>
      </w:r>
      <w:r w:rsidRPr="00DA2B16">
        <w:rPr>
          <w:rFonts w:cs="Arial"/>
          <w:iCs/>
          <w:szCs w:val="24"/>
        </w:rPr>
        <w:t xml:space="preserve">The purpose of these </w:t>
      </w:r>
      <w:r w:rsidR="007F0CE3">
        <w:rPr>
          <w:rFonts w:cs="Arial"/>
          <w:iCs/>
          <w:szCs w:val="24"/>
        </w:rPr>
        <w:t>is</w:t>
      </w:r>
      <w:r w:rsidRPr="00DA2B16">
        <w:rPr>
          <w:rFonts w:cs="Arial"/>
          <w:iCs/>
          <w:szCs w:val="24"/>
        </w:rPr>
        <w:t xml:space="preserve"> to restrain the activity of the treasury function within certain limits, thereby managing risk and reducing the impact of any adverse movement in interest rates.  </w:t>
      </w:r>
      <w:r w:rsidRPr="00DA2B16">
        <w:rPr>
          <w:rFonts w:cs="Arial"/>
          <w:szCs w:val="24"/>
        </w:rPr>
        <w:t>However, if these are set to be too restrictive they will impair the opportunities to reduce costs and improve performance.</w:t>
      </w:r>
      <w:r w:rsidRPr="00DA2B16">
        <w:rPr>
          <w:rFonts w:cs="Arial"/>
          <w:iCs/>
          <w:szCs w:val="24"/>
        </w:rPr>
        <w:t xml:space="preserve">  </w:t>
      </w:r>
    </w:p>
    <w:p w:rsidR="00DA2B16" w:rsidRPr="00DA2B16" w:rsidRDefault="00DA2B16" w:rsidP="00093DAC">
      <w:pPr>
        <w:spacing w:after="120"/>
        <w:ind w:left="567" w:hanging="567"/>
        <w:jc w:val="both"/>
        <w:rPr>
          <w:rFonts w:cs="Arial"/>
          <w:b/>
          <w:iCs/>
          <w:szCs w:val="24"/>
        </w:rPr>
      </w:pPr>
      <w:r w:rsidRPr="00DA2B16">
        <w:rPr>
          <w:rFonts w:cs="Arial"/>
          <w:b/>
          <w:iCs/>
          <w:szCs w:val="24"/>
        </w:rPr>
        <w:t>Upper limit on variable interest rate exposure</w:t>
      </w:r>
    </w:p>
    <w:p w:rsidR="00DA2B16" w:rsidRPr="00DA2B16" w:rsidRDefault="00DA2B16" w:rsidP="00093DAC">
      <w:pPr>
        <w:ind w:left="567" w:hanging="567"/>
        <w:rPr>
          <w:rFonts w:cs="Arial"/>
          <w:szCs w:val="24"/>
        </w:rPr>
      </w:pPr>
      <w:r w:rsidRPr="00DA2B16">
        <w:rPr>
          <w:rFonts w:cs="Arial"/>
          <w:szCs w:val="24"/>
        </w:rPr>
        <w:t>5</w:t>
      </w:r>
      <w:r w:rsidR="00B32254">
        <w:rPr>
          <w:rFonts w:cs="Arial"/>
          <w:szCs w:val="24"/>
        </w:rPr>
        <w:t>4</w:t>
      </w:r>
      <w:r w:rsidRPr="00DA2B16">
        <w:rPr>
          <w:rFonts w:cs="Arial"/>
          <w:szCs w:val="24"/>
        </w:rPr>
        <w:t>.</w:t>
      </w:r>
      <w:r w:rsidR="00093DAC">
        <w:rPr>
          <w:rFonts w:cs="Arial"/>
          <w:szCs w:val="24"/>
        </w:rPr>
        <w:tab/>
      </w:r>
      <w:r w:rsidRPr="00DA2B16">
        <w:rPr>
          <w:rFonts w:cs="Arial"/>
          <w:szCs w:val="24"/>
        </w:rPr>
        <w:t xml:space="preserve">This identifies a maximum limit for variable interest rates based upon the debt position net of investments. As shown in </w:t>
      </w:r>
      <w:r w:rsidRPr="007E6E00">
        <w:rPr>
          <w:rFonts w:cs="Arial"/>
          <w:szCs w:val="24"/>
        </w:rPr>
        <w:t xml:space="preserve">Table </w:t>
      </w:r>
      <w:r w:rsidR="001D69CF">
        <w:rPr>
          <w:rFonts w:cs="Arial"/>
          <w:szCs w:val="24"/>
        </w:rPr>
        <w:t>7</w:t>
      </w:r>
      <w:r w:rsidRPr="00DA2B16">
        <w:rPr>
          <w:rFonts w:cs="Arial"/>
          <w:szCs w:val="24"/>
        </w:rPr>
        <w:t xml:space="preserve"> above the Council does not expect to undertake any borrowing on this basis. </w:t>
      </w:r>
    </w:p>
    <w:p w:rsidR="00DA2B16" w:rsidRPr="00DA2B16" w:rsidRDefault="00DA2B16" w:rsidP="00093DAC">
      <w:pPr>
        <w:ind w:left="567" w:hanging="567"/>
        <w:rPr>
          <w:rFonts w:cs="Arial"/>
          <w:szCs w:val="24"/>
        </w:rPr>
      </w:pPr>
    </w:p>
    <w:p w:rsidR="00DA2B16" w:rsidRPr="00DA2B16" w:rsidRDefault="00DA2B16" w:rsidP="00093DAC">
      <w:pPr>
        <w:spacing w:after="120"/>
        <w:ind w:left="567" w:hanging="567"/>
        <w:jc w:val="both"/>
        <w:rPr>
          <w:rFonts w:cs="Arial"/>
          <w:b/>
          <w:iCs/>
          <w:szCs w:val="24"/>
        </w:rPr>
      </w:pPr>
      <w:r w:rsidRPr="00DA2B16">
        <w:rPr>
          <w:rFonts w:cs="Arial"/>
          <w:b/>
          <w:iCs/>
          <w:szCs w:val="24"/>
        </w:rPr>
        <w:t>Upper limit on fixed interest rate exposure</w:t>
      </w:r>
    </w:p>
    <w:p w:rsidR="00DA2B16" w:rsidRPr="00DA2B16" w:rsidRDefault="00DA2B16" w:rsidP="00093DAC">
      <w:pPr>
        <w:ind w:left="567" w:hanging="567"/>
        <w:rPr>
          <w:rFonts w:cs="Arial"/>
          <w:szCs w:val="24"/>
        </w:rPr>
      </w:pPr>
      <w:r w:rsidRPr="00DA2B16">
        <w:rPr>
          <w:rFonts w:cs="Arial"/>
          <w:szCs w:val="24"/>
        </w:rPr>
        <w:t>5</w:t>
      </w:r>
      <w:r w:rsidR="00B32254">
        <w:rPr>
          <w:rFonts w:cs="Arial"/>
          <w:szCs w:val="24"/>
        </w:rPr>
        <w:t>5</w:t>
      </w:r>
      <w:r w:rsidRPr="00DA2B16">
        <w:rPr>
          <w:rFonts w:cs="Arial"/>
          <w:szCs w:val="24"/>
        </w:rPr>
        <w:t>.</w:t>
      </w:r>
      <w:r w:rsidR="00093DAC">
        <w:rPr>
          <w:rFonts w:cs="Arial"/>
          <w:szCs w:val="24"/>
        </w:rPr>
        <w:tab/>
      </w:r>
      <w:r w:rsidRPr="00DA2B16">
        <w:rPr>
          <w:rFonts w:cs="Arial"/>
          <w:szCs w:val="24"/>
        </w:rPr>
        <w:t xml:space="preserve">This identifies a maximum limit for fixed interest rates based upon the debt position net of investments. The Council’s proposed limits are shown in </w:t>
      </w:r>
      <w:r w:rsidRPr="007E6E00">
        <w:rPr>
          <w:rFonts w:cs="Arial"/>
          <w:szCs w:val="24"/>
        </w:rPr>
        <w:t xml:space="preserve">Table </w:t>
      </w:r>
      <w:r w:rsidR="001D69CF">
        <w:rPr>
          <w:rFonts w:cs="Arial"/>
          <w:szCs w:val="24"/>
        </w:rPr>
        <w:t>7</w:t>
      </w:r>
      <w:r w:rsidRPr="00DA2B16">
        <w:rPr>
          <w:rFonts w:cs="Arial"/>
          <w:szCs w:val="24"/>
        </w:rPr>
        <w:t xml:space="preserve"> above</w:t>
      </w:r>
    </w:p>
    <w:p w:rsidR="00DA2B16" w:rsidRPr="00DA2B16" w:rsidRDefault="00DA2B16" w:rsidP="00093DAC">
      <w:pPr>
        <w:ind w:left="567" w:hanging="567"/>
        <w:rPr>
          <w:rFonts w:cs="Arial"/>
          <w:szCs w:val="24"/>
        </w:rPr>
      </w:pPr>
    </w:p>
    <w:p w:rsidR="00DA2B16" w:rsidRPr="00DA2B16" w:rsidRDefault="00DA2B16" w:rsidP="00093DAC">
      <w:pPr>
        <w:spacing w:after="120"/>
        <w:ind w:left="567" w:hanging="567"/>
        <w:jc w:val="both"/>
        <w:rPr>
          <w:rFonts w:cs="Arial"/>
          <w:b/>
          <w:iCs/>
          <w:szCs w:val="24"/>
        </w:rPr>
      </w:pPr>
      <w:r w:rsidRPr="00DA2B16">
        <w:rPr>
          <w:rFonts w:cs="Arial"/>
          <w:b/>
          <w:iCs/>
          <w:szCs w:val="24"/>
        </w:rPr>
        <w:t>Maturity Structure of Borrowing</w:t>
      </w:r>
    </w:p>
    <w:p w:rsidR="00DA2B16" w:rsidRPr="00DA2B16" w:rsidRDefault="00DA2B16" w:rsidP="00093DAC">
      <w:pPr>
        <w:spacing w:after="120"/>
        <w:ind w:left="567" w:hanging="567"/>
        <w:jc w:val="both"/>
        <w:rPr>
          <w:rFonts w:cs="Arial"/>
          <w:iCs/>
          <w:szCs w:val="24"/>
        </w:rPr>
      </w:pPr>
      <w:r w:rsidRPr="00DA2B16">
        <w:rPr>
          <w:rFonts w:cs="Arial"/>
          <w:iCs/>
          <w:szCs w:val="24"/>
        </w:rPr>
        <w:t>5</w:t>
      </w:r>
      <w:r w:rsidR="00B32254">
        <w:rPr>
          <w:rFonts w:cs="Arial"/>
          <w:iCs/>
          <w:szCs w:val="24"/>
        </w:rPr>
        <w:t>6</w:t>
      </w:r>
      <w:r w:rsidRPr="00DA2B16">
        <w:rPr>
          <w:rFonts w:cs="Arial"/>
          <w:i/>
          <w:iCs/>
          <w:szCs w:val="24"/>
        </w:rPr>
        <w:t>.</w:t>
      </w:r>
      <w:r w:rsidR="00093DAC">
        <w:rPr>
          <w:rFonts w:cs="Arial"/>
          <w:i/>
          <w:iCs/>
          <w:szCs w:val="24"/>
        </w:rPr>
        <w:tab/>
      </w:r>
      <w:r w:rsidRPr="00DA2B16">
        <w:rPr>
          <w:rFonts w:cs="Arial"/>
          <w:iCs/>
          <w:szCs w:val="24"/>
        </w:rPr>
        <w:t xml:space="preserve">These gross limits are set to reduce the Council’s exposure to large fixed rate sums falling due for refinancing, and are required for upper and lower limits. </w:t>
      </w:r>
    </w:p>
    <w:p w:rsidR="00DA2B16" w:rsidRPr="00DA2B16" w:rsidRDefault="008C25BC" w:rsidP="00093DAC">
      <w:pPr>
        <w:spacing w:after="120"/>
        <w:ind w:left="567" w:hanging="567"/>
        <w:jc w:val="both"/>
        <w:rPr>
          <w:rFonts w:cs="Arial"/>
          <w:i/>
          <w:iCs/>
          <w:szCs w:val="24"/>
        </w:rPr>
      </w:pPr>
      <w:r>
        <w:rPr>
          <w:rFonts w:cs="Arial"/>
          <w:iCs/>
          <w:szCs w:val="24"/>
        </w:rPr>
        <w:t>5</w:t>
      </w:r>
      <w:r w:rsidR="00B32254">
        <w:rPr>
          <w:rFonts w:cs="Arial"/>
          <w:iCs/>
          <w:szCs w:val="24"/>
        </w:rPr>
        <w:t>7</w:t>
      </w:r>
      <w:r w:rsidR="00DA2B16" w:rsidRPr="00DA2B16">
        <w:rPr>
          <w:rFonts w:cs="Arial"/>
          <w:iCs/>
          <w:szCs w:val="24"/>
        </w:rPr>
        <w:t>.</w:t>
      </w:r>
      <w:r w:rsidR="00093DAC">
        <w:rPr>
          <w:rFonts w:cs="Arial"/>
          <w:iCs/>
          <w:szCs w:val="24"/>
        </w:rPr>
        <w:tab/>
      </w:r>
      <w:r w:rsidR="00DA2B16" w:rsidRPr="00DA2B16">
        <w:rPr>
          <w:rFonts w:cs="Arial"/>
          <w:iCs/>
          <w:szCs w:val="24"/>
        </w:rPr>
        <w:t xml:space="preserve">The Council has no variable rate borrowing and the comments below relate only to its fixed rate portfolio. </w:t>
      </w:r>
    </w:p>
    <w:p w:rsidR="00CF6FAC" w:rsidRDefault="008C25BC" w:rsidP="00CF6FAC">
      <w:pPr>
        <w:ind w:left="567" w:hanging="567"/>
        <w:jc w:val="both"/>
        <w:rPr>
          <w:rFonts w:cs="Arial"/>
          <w:bCs/>
          <w:szCs w:val="24"/>
        </w:rPr>
      </w:pPr>
      <w:r>
        <w:rPr>
          <w:rFonts w:cs="Arial"/>
          <w:bCs/>
          <w:szCs w:val="24"/>
        </w:rPr>
        <w:t>5</w:t>
      </w:r>
      <w:r w:rsidR="00B32254">
        <w:rPr>
          <w:rFonts w:cs="Arial"/>
          <w:bCs/>
          <w:szCs w:val="24"/>
        </w:rPr>
        <w:t>8</w:t>
      </w:r>
      <w:r w:rsidR="00DA2B16" w:rsidRPr="00DA2B16">
        <w:rPr>
          <w:rFonts w:cs="Arial"/>
          <w:bCs/>
          <w:szCs w:val="24"/>
        </w:rPr>
        <w:t>.</w:t>
      </w:r>
      <w:r w:rsidR="00093DAC">
        <w:rPr>
          <w:rFonts w:cs="Arial"/>
          <w:bCs/>
          <w:szCs w:val="24"/>
        </w:rPr>
        <w:tab/>
      </w:r>
      <w:r w:rsidR="00DA2B16" w:rsidRPr="001B02EA">
        <w:rPr>
          <w:rFonts w:cs="Arial"/>
          <w:bCs/>
          <w:szCs w:val="24"/>
        </w:rPr>
        <w:t>In the table below, the maturity structure for the LOBO debt, in accordance with CIPFA Guidance, is shown as the first date that the interest rate can be increased.</w:t>
      </w:r>
    </w:p>
    <w:p w:rsidR="00CF6FAC" w:rsidRDefault="00CF6FAC" w:rsidP="00CF6FAC">
      <w:pPr>
        <w:ind w:left="567" w:hanging="567"/>
        <w:jc w:val="both"/>
        <w:rPr>
          <w:rFonts w:cs="Arial"/>
          <w:bCs/>
          <w:szCs w:val="24"/>
        </w:rPr>
      </w:pPr>
    </w:p>
    <w:p w:rsidR="00DA2B16" w:rsidRPr="0037182E" w:rsidRDefault="00CF6FAC" w:rsidP="00CF6FAC">
      <w:pPr>
        <w:ind w:left="567" w:hanging="567"/>
        <w:jc w:val="both"/>
        <w:rPr>
          <w:rFonts w:cs="Arial"/>
          <w:b/>
          <w:bCs/>
        </w:rPr>
      </w:pPr>
      <w:r w:rsidRPr="0037182E">
        <w:rPr>
          <w:rFonts w:cs="Arial"/>
          <w:b/>
          <w:bCs/>
        </w:rPr>
        <w:t xml:space="preserve"> </w:t>
      </w:r>
      <w:r w:rsidR="00DA2B16" w:rsidRPr="0037182E">
        <w:rPr>
          <w:rFonts w:cs="Arial"/>
          <w:b/>
          <w:bCs/>
        </w:rPr>
        <w:t xml:space="preserve">Table </w:t>
      </w:r>
      <w:r w:rsidR="001D7DC7" w:rsidRPr="0037182E">
        <w:rPr>
          <w:rFonts w:cs="Arial"/>
          <w:b/>
          <w:bCs/>
        </w:rPr>
        <w:t>9</w:t>
      </w:r>
      <w:r w:rsidR="00DA2B16" w:rsidRPr="0037182E">
        <w:rPr>
          <w:rFonts w:cs="Arial"/>
          <w:b/>
          <w:bCs/>
        </w:rPr>
        <w:t xml:space="preserve"> Maturity Structure of Fixed Rate Borrowing</w:t>
      </w:r>
    </w:p>
    <w:p w:rsidR="00DA2B16" w:rsidRPr="003E2033" w:rsidRDefault="00DA2B16" w:rsidP="00DA2B16">
      <w:pPr>
        <w:rPr>
          <w:sz w:val="22"/>
          <w:szCs w:val="22"/>
          <w:highlight w:val="yellow"/>
        </w:rPr>
      </w:pPr>
    </w:p>
    <w:p w:rsidR="00DA2B16" w:rsidRDefault="00133B17" w:rsidP="00CF6FAC">
      <w:pPr>
        <w:ind w:left="142"/>
        <w:jc w:val="both"/>
      </w:pPr>
      <w:r>
        <w:rPr>
          <w:noProof/>
          <w:lang w:eastAsia="en-GB"/>
        </w:rPr>
        <w:drawing>
          <wp:inline distT="0" distB="0" distL="0" distR="0">
            <wp:extent cx="5134610" cy="15170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4610" cy="1517015"/>
                    </a:xfrm>
                    <a:prstGeom prst="rect">
                      <a:avLst/>
                    </a:prstGeom>
                    <a:noFill/>
                    <a:ln>
                      <a:noFill/>
                    </a:ln>
                  </pic:spPr>
                </pic:pic>
              </a:graphicData>
            </a:graphic>
          </wp:inline>
        </w:drawing>
      </w:r>
    </w:p>
    <w:p w:rsidR="00DA2B16" w:rsidRDefault="00DA2B16" w:rsidP="00DA2B16">
      <w:pPr>
        <w:ind w:left="720"/>
        <w:rPr>
          <w:sz w:val="28"/>
          <w:szCs w:val="28"/>
        </w:rPr>
      </w:pPr>
      <w:bookmarkStart w:id="7" w:name="_Toc339459956"/>
    </w:p>
    <w:p w:rsidR="00DA2B16" w:rsidRPr="007B3D79" w:rsidRDefault="00093DAC" w:rsidP="00093DAC">
      <w:pPr>
        <w:rPr>
          <w:b/>
          <w:sz w:val="28"/>
          <w:szCs w:val="28"/>
        </w:rPr>
      </w:pPr>
      <w:r>
        <w:rPr>
          <w:b/>
          <w:sz w:val="28"/>
          <w:szCs w:val="28"/>
        </w:rPr>
        <w:t xml:space="preserve">3.6 </w:t>
      </w:r>
      <w:r w:rsidR="00DA2B16" w:rsidRPr="007B3D79">
        <w:rPr>
          <w:b/>
          <w:sz w:val="28"/>
          <w:szCs w:val="28"/>
        </w:rPr>
        <w:t xml:space="preserve">Policy on </w:t>
      </w:r>
      <w:r w:rsidR="00146434">
        <w:rPr>
          <w:b/>
          <w:sz w:val="28"/>
          <w:szCs w:val="28"/>
        </w:rPr>
        <w:t>b</w:t>
      </w:r>
      <w:r w:rsidR="00DA2B16" w:rsidRPr="007B3D79">
        <w:rPr>
          <w:b/>
          <w:sz w:val="28"/>
          <w:szCs w:val="28"/>
        </w:rPr>
        <w:t xml:space="preserve">orrowing in </w:t>
      </w:r>
      <w:r w:rsidR="00146434">
        <w:rPr>
          <w:b/>
          <w:sz w:val="28"/>
          <w:szCs w:val="28"/>
        </w:rPr>
        <w:t>a</w:t>
      </w:r>
      <w:r w:rsidR="00DA2B16" w:rsidRPr="007B3D79">
        <w:rPr>
          <w:b/>
          <w:sz w:val="28"/>
          <w:szCs w:val="28"/>
        </w:rPr>
        <w:t xml:space="preserve">dvance of </w:t>
      </w:r>
      <w:r w:rsidR="00146434">
        <w:rPr>
          <w:b/>
          <w:sz w:val="28"/>
          <w:szCs w:val="28"/>
        </w:rPr>
        <w:t>n</w:t>
      </w:r>
      <w:r w:rsidR="00DA2B16" w:rsidRPr="007B3D79">
        <w:rPr>
          <w:b/>
          <w:sz w:val="28"/>
          <w:szCs w:val="28"/>
        </w:rPr>
        <w:t>eed</w:t>
      </w:r>
      <w:bookmarkEnd w:id="7"/>
      <w:r w:rsidR="00DA2B16" w:rsidRPr="007B3D79">
        <w:rPr>
          <w:b/>
          <w:sz w:val="28"/>
          <w:szCs w:val="28"/>
        </w:rPr>
        <w:t xml:space="preserve"> </w:t>
      </w:r>
    </w:p>
    <w:p w:rsidR="00DA2B16" w:rsidRPr="007B3D79" w:rsidRDefault="00DA2B16" w:rsidP="00DA2B16">
      <w:pPr>
        <w:ind w:left="720"/>
        <w:rPr>
          <w:b/>
          <w:sz w:val="28"/>
          <w:szCs w:val="28"/>
        </w:rPr>
      </w:pPr>
    </w:p>
    <w:p w:rsidR="00DA2B16" w:rsidRPr="007B3D79" w:rsidRDefault="00B32254" w:rsidP="00DA2B16">
      <w:pPr>
        <w:autoSpaceDE w:val="0"/>
        <w:autoSpaceDN w:val="0"/>
        <w:adjustRightInd w:val="0"/>
        <w:ind w:left="561" w:hanging="561"/>
        <w:jc w:val="both"/>
        <w:rPr>
          <w:rFonts w:cs="Arial"/>
          <w:noProof/>
          <w:szCs w:val="24"/>
        </w:rPr>
      </w:pPr>
      <w:r>
        <w:rPr>
          <w:rFonts w:cs="Arial"/>
          <w:noProof/>
          <w:szCs w:val="24"/>
        </w:rPr>
        <w:t>59</w:t>
      </w:r>
      <w:r w:rsidR="00DA2B16" w:rsidRPr="007B3D79">
        <w:rPr>
          <w:rFonts w:cs="Arial"/>
          <w:noProof/>
          <w:szCs w:val="24"/>
        </w:rPr>
        <w:t>.</w:t>
      </w:r>
      <w:r w:rsidR="00093DAC">
        <w:rPr>
          <w:rFonts w:cs="Arial"/>
          <w:noProof/>
          <w:szCs w:val="24"/>
        </w:rPr>
        <w:tab/>
      </w:r>
      <w:r w:rsidR="00DA2B16" w:rsidRPr="007B3D79">
        <w:rPr>
          <w:rFonts w:cs="Arial"/>
          <w:noProof/>
          <w:szCs w:val="24"/>
        </w:rPr>
        <w:t>The Council will not borrow more than</w:t>
      </w:r>
      <w:r w:rsidR="007F0CE3">
        <w:rPr>
          <w:rFonts w:cs="Arial"/>
          <w:noProof/>
          <w:szCs w:val="24"/>
        </w:rPr>
        <w:t>,</w:t>
      </w:r>
      <w:r w:rsidR="00DA2B16" w:rsidRPr="007B3D79">
        <w:rPr>
          <w:rFonts w:cs="Arial"/>
          <w:noProof/>
          <w:szCs w:val="24"/>
        </w:rPr>
        <w:t xml:space="preserve"> or in advance of</w:t>
      </w:r>
      <w:r w:rsidR="007F0CE3">
        <w:rPr>
          <w:rFonts w:cs="Arial"/>
          <w:noProof/>
          <w:szCs w:val="24"/>
        </w:rPr>
        <w:t>,</w:t>
      </w:r>
      <w:r w:rsidR="00DA2B16" w:rsidRPr="007B3D79">
        <w:rPr>
          <w:rFonts w:cs="Arial"/>
          <w:noProof/>
          <w:szCs w:val="24"/>
        </w:rPr>
        <w:t xml:space="preserve"> its needs purely in order to profit from the investment of the extra sums borrowed. Any decision to borrow in advance will be within forward approved CFR estimates</w:t>
      </w:r>
      <w:r w:rsidR="005362B9">
        <w:rPr>
          <w:rFonts w:cs="Arial"/>
          <w:noProof/>
          <w:szCs w:val="24"/>
        </w:rPr>
        <w:t xml:space="preserve"> and future authorised limits</w:t>
      </w:r>
      <w:r w:rsidR="00DA2B16" w:rsidRPr="007B3D79">
        <w:rPr>
          <w:rFonts w:cs="Arial"/>
          <w:noProof/>
          <w:szCs w:val="24"/>
        </w:rPr>
        <w:t xml:space="preserve">, and will be considered carefully to ensure that value for money can be demonstrated and that the Council can ensure the security of such funds. </w:t>
      </w:r>
    </w:p>
    <w:p w:rsidR="00DA2B16" w:rsidRPr="007B3D79" w:rsidRDefault="00DA2B16" w:rsidP="00DA2B16">
      <w:pPr>
        <w:autoSpaceDE w:val="0"/>
        <w:autoSpaceDN w:val="0"/>
        <w:adjustRightInd w:val="0"/>
        <w:jc w:val="both"/>
        <w:rPr>
          <w:rFonts w:cs="Arial"/>
          <w:noProof/>
          <w:szCs w:val="24"/>
        </w:rPr>
      </w:pPr>
    </w:p>
    <w:p w:rsidR="00DA2B16" w:rsidRDefault="00DA2B16" w:rsidP="00A60D91">
      <w:pPr>
        <w:spacing w:after="120"/>
        <w:ind w:left="561" w:hanging="561"/>
        <w:jc w:val="both"/>
        <w:rPr>
          <w:rFonts w:cs="Arial"/>
          <w:iCs/>
          <w:color w:val="000000"/>
          <w:szCs w:val="24"/>
        </w:rPr>
      </w:pPr>
      <w:r w:rsidRPr="007B3D79">
        <w:rPr>
          <w:rFonts w:cs="Arial"/>
          <w:bCs/>
          <w:iCs/>
          <w:color w:val="000000"/>
          <w:szCs w:val="24"/>
        </w:rPr>
        <w:lastRenderedPageBreak/>
        <w:t>6</w:t>
      </w:r>
      <w:r w:rsidR="00B32254">
        <w:rPr>
          <w:rFonts w:cs="Arial"/>
          <w:bCs/>
          <w:iCs/>
          <w:color w:val="000000"/>
          <w:szCs w:val="24"/>
        </w:rPr>
        <w:t>0</w:t>
      </w:r>
      <w:r w:rsidRPr="007B3D79">
        <w:rPr>
          <w:rFonts w:cs="Arial"/>
          <w:bCs/>
          <w:iCs/>
          <w:color w:val="000000"/>
          <w:szCs w:val="24"/>
        </w:rPr>
        <w:t>.</w:t>
      </w:r>
      <w:r w:rsidR="00093DAC">
        <w:rPr>
          <w:rFonts w:cs="Arial"/>
          <w:bCs/>
          <w:iCs/>
          <w:color w:val="000000"/>
          <w:szCs w:val="24"/>
        </w:rPr>
        <w:tab/>
      </w:r>
      <w:r w:rsidRPr="007B3D79">
        <w:rPr>
          <w:rFonts w:cs="Arial"/>
          <w:bCs/>
          <w:iCs/>
          <w:color w:val="000000"/>
          <w:szCs w:val="24"/>
        </w:rPr>
        <w:t>Risks associated with any borrowing in advance activity will be subject to prior appraisal and subsequent reporting through the mid-year or annual reporting mechanism.</w:t>
      </w:r>
      <w:r w:rsidRPr="007B3D79">
        <w:rPr>
          <w:rFonts w:cs="Arial"/>
          <w:iCs/>
          <w:color w:val="000000"/>
          <w:szCs w:val="24"/>
        </w:rPr>
        <w:t xml:space="preserve"> </w:t>
      </w:r>
    </w:p>
    <w:p w:rsidR="006C5AA5" w:rsidRPr="007B3D79" w:rsidRDefault="006C5AA5" w:rsidP="00A60D91">
      <w:pPr>
        <w:spacing w:after="120"/>
        <w:ind w:left="561" w:hanging="561"/>
        <w:jc w:val="both"/>
        <w:rPr>
          <w:rFonts w:cs="Arial"/>
          <w:b/>
          <w:szCs w:val="24"/>
        </w:rPr>
      </w:pPr>
    </w:p>
    <w:p w:rsidR="00DA2B16" w:rsidRPr="007B3D79" w:rsidRDefault="00093DAC" w:rsidP="00093DAC">
      <w:pPr>
        <w:jc w:val="both"/>
        <w:rPr>
          <w:rFonts w:cs="Arial"/>
          <w:b/>
          <w:noProof/>
          <w:sz w:val="28"/>
          <w:szCs w:val="28"/>
        </w:rPr>
      </w:pPr>
      <w:bookmarkStart w:id="8" w:name="_Toc339459957"/>
      <w:r>
        <w:rPr>
          <w:b/>
          <w:sz w:val="28"/>
          <w:szCs w:val="28"/>
        </w:rPr>
        <w:t xml:space="preserve">3.7 </w:t>
      </w:r>
      <w:r w:rsidR="00DA2B16" w:rsidRPr="007B3D79">
        <w:rPr>
          <w:b/>
          <w:sz w:val="28"/>
          <w:szCs w:val="28"/>
        </w:rPr>
        <w:t xml:space="preserve">Debt </w:t>
      </w:r>
      <w:r w:rsidR="00146434">
        <w:rPr>
          <w:b/>
          <w:sz w:val="28"/>
          <w:szCs w:val="28"/>
        </w:rPr>
        <w:t>r</w:t>
      </w:r>
      <w:r w:rsidR="00DA2B16" w:rsidRPr="007B3D79">
        <w:rPr>
          <w:b/>
          <w:sz w:val="28"/>
          <w:szCs w:val="28"/>
        </w:rPr>
        <w:t>escheduling</w:t>
      </w:r>
      <w:bookmarkEnd w:id="8"/>
      <w:r w:rsidR="00DA2B16" w:rsidRPr="007B3D79">
        <w:rPr>
          <w:rFonts w:cs="Arial"/>
          <w:b/>
          <w:noProof/>
          <w:sz w:val="28"/>
          <w:szCs w:val="28"/>
        </w:rPr>
        <w:t xml:space="preserve">    </w:t>
      </w:r>
    </w:p>
    <w:p w:rsidR="00DA2B16" w:rsidRPr="007B3D79" w:rsidRDefault="00DA2B16" w:rsidP="00DA2B16">
      <w:pPr>
        <w:ind w:left="405"/>
        <w:jc w:val="both"/>
        <w:rPr>
          <w:rFonts w:cs="Arial"/>
          <w:b/>
          <w:noProof/>
          <w:sz w:val="22"/>
          <w:szCs w:val="22"/>
        </w:rPr>
      </w:pPr>
    </w:p>
    <w:p w:rsidR="00DA2B16" w:rsidRPr="007B3D79" w:rsidRDefault="00DA2B16" w:rsidP="00A4618C">
      <w:pPr>
        <w:tabs>
          <w:tab w:val="left" w:pos="426"/>
        </w:tabs>
        <w:jc w:val="both"/>
        <w:rPr>
          <w:rFonts w:cs="Arial"/>
          <w:noProof/>
          <w:szCs w:val="22"/>
        </w:rPr>
      </w:pPr>
      <w:r w:rsidRPr="007B3D79">
        <w:rPr>
          <w:rFonts w:cs="Arial"/>
          <w:noProof/>
          <w:szCs w:val="22"/>
        </w:rPr>
        <w:t>6</w:t>
      </w:r>
      <w:r w:rsidR="00B32254">
        <w:rPr>
          <w:rFonts w:cs="Arial"/>
          <w:noProof/>
          <w:szCs w:val="22"/>
        </w:rPr>
        <w:t>1</w:t>
      </w:r>
      <w:r w:rsidRPr="007B3D79">
        <w:rPr>
          <w:rFonts w:cs="Arial"/>
          <w:noProof/>
          <w:szCs w:val="22"/>
        </w:rPr>
        <w:t>.</w:t>
      </w:r>
      <w:r w:rsidR="00093DAC">
        <w:rPr>
          <w:rFonts w:cs="Arial"/>
          <w:noProof/>
          <w:szCs w:val="22"/>
        </w:rPr>
        <w:tab/>
      </w:r>
      <w:r w:rsidR="00A4618C">
        <w:rPr>
          <w:rFonts w:cs="Arial"/>
          <w:noProof/>
          <w:szCs w:val="22"/>
        </w:rPr>
        <w:t xml:space="preserve">  </w:t>
      </w:r>
      <w:r w:rsidR="006D3AA3">
        <w:rPr>
          <w:rFonts w:cs="Arial"/>
          <w:noProof/>
          <w:szCs w:val="22"/>
        </w:rPr>
        <w:t>Link Asset Services</w:t>
      </w:r>
      <w:r w:rsidR="006D3AA3" w:rsidRPr="007B3D79">
        <w:rPr>
          <w:rFonts w:cs="Arial"/>
          <w:noProof/>
          <w:szCs w:val="22"/>
        </w:rPr>
        <w:t xml:space="preserve"> </w:t>
      </w:r>
      <w:r w:rsidRPr="007B3D79">
        <w:rPr>
          <w:rFonts w:cs="Arial"/>
          <w:noProof/>
          <w:szCs w:val="22"/>
        </w:rPr>
        <w:t>currently advise that:</w:t>
      </w:r>
    </w:p>
    <w:p w:rsidR="00DA2B16" w:rsidRPr="007B3D79" w:rsidRDefault="00DA2B16" w:rsidP="00DA2B16">
      <w:pPr>
        <w:jc w:val="both"/>
        <w:rPr>
          <w:rFonts w:cs="Arial"/>
          <w:noProof/>
          <w:sz w:val="22"/>
          <w:szCs w:val="22"/>
        </w:rPr>
      </w:pPr>
    </w:p>
    <w:p w:rsidR="00DA2B16" w:rsidRPr="007B3D79" w:rsidRDefault="00DA2B16" w:rsidP="00DA2B16">
      <w:pPr>
        <w:jc w:val="both"/>
        <w:rPr>
          <w:rFonts w:cs="Arial"/>
          <w:bCs/>
          <w:i/>
          <w:noProof/>
          <w:szCs w:val="22"/>
        </w:rPr>
      </w:pPr>
      <w:r w:rsidRPr="007B3D79">
        <w:rPr>
          <w:rFonts w:cs="Arial"/>
          <w:i/>
          <w:noProof/>
          <w:szCs w:val="22"/>
        </w:rPr>
        <w:t>As short term borrowing rates will be considerably cheaper than longer term fixed interest rates, there may be potential opportunities to generate savings by switching from long term debt to short term debt.  However, these savings will need to be considered in the light of the current treasury position and the size of the cost of debt repayment (premiums incurred).</w:t>
      </w:r>
      <w:r w:rsidRPr="007B3D79">
        <w:rPr>
          <w:rFonts w:cs="Arial"/>
          <w:bCs/>
          <w:i/>
          <w:noProof/>
          <w:szCs w:val="22"/>
        </w:rPr>
        <w:t xml:space="preserve"> </w:t>
      </w:r>
    </w:p>
    <w:p w:rsidR="00DA2B16" w:rsidRPr="007B3D79" w:rsidRDefault="00DA2B16" w:rsidP="00DA2B16">
      <w:pPr>
        <w:numPr>
          <w:ilvl w:val="12"/>
          <w:numId w:val="0"/>
        </w:numPr>
        <w:jc w:val="both"/>
        <w:rPr>
          <w:rFonts w:cs="Arial"/>
          <w:i/>
          <w:noProof/>
          <w:szCs w:val="22"/>
        </w:rPr>
      </w:pPr>
    </w:p>
    <w:p w:rsidR="00DA2B16" w:rsidRPr="007B3D79" w:rsidRDefault="00DA2B16" w:rsidP="00DA2B16">
      <w:pPr>
        <w:jc w:val="both"/>
        <w:rPr>
          <w:rFonts w:cs="Arial"/>
          <w:i/>
          <w:noProof/>
          <w:szCs w:val="22"/>
        </w:rPr>
      </w:pPr>
      <w:r w:rsidRPr="007B3D79">
        <w:rPr>
          <w:rFonts w:cs="Arial"/>
          <w:i/>
          <w:noProof/>
          <w:szCs w:val="22"/>
        </w:rPr>
        <w:t xml:space="preserve">The reasons for any rescheduling to take place will include: </w:t>
      </w:r>
    </w:p>
    <w:p w:rsidR="00DA2B16" w:rsidRPr="007B3D79" w:rsidRDefault="00DA2B16" w:rsidP="005C387C">
      <w:pPr>
        <w:numPr>
          <w:ilvl w:val="0"/>
          <w:numId w:val="25"/>
        </w:numPr>
        <w:spacing w:before="45" w:after="45"/>
        <w:ind w:left="720"/>
        <w:rPr>
          <w:rFonts w:cs="Arial"/>
          <w:i/>
          <w:noProof/>
          <w:szCs w:val="22"/>
        </w:rPr>
      </w:pPr>
      <w:r w:rsidRPr="007B3D79">
        <w:rPr>
          <w:rFonts w:cs="Arial"/>
          <w:i/>
          <w:noProof/>
          <w:szCs w:val="22"/>
        </w:rPr>
        <w:t>the generation of cash savings and / or discounted cash flow savings;</w:t>
      </w:r>
    </w:p>
    <w:p w:rsidR="00DA2B16" w:rsidRPr="007B3D79" w:rsidRDefault="00DA2B16" w:rsidP="005C387C">
      <w:pPr>
        <w:numPr>
          <w:ilvl w:val="0"/>
          <w:numId w:val="25"/>
        </w:numPr>
        <w:spacing w:before="45" w:after="45"/>
        <w:ind w:left="720"/>
        <w:rPr>
          <w:rFonts w:cs="Arial"/>
          <w:i/>
          <w:noProof/>
          <w:szCs w:val="22"/>
        </w:rPr>
      </w:pPr>
      <w:r w:rsidRPr="007B3D79">
        <w:rPr>
          <w:rFonts w:cs="Arial"/>
          <w:i/>
          <w:noProof/>
          <w:szCs w:val="22"/>
        </w:rPr>
        <w:t>helping to fulfil the treasury strategy;</w:t>
      </w:r>
    </w:p>
    <w:p w:rsidR="00DA2B16" w:rsidRPr="007B3D79" w:rsidRDefault="00DA2B16" w:rsidP="005C387C">
      <w:pPr>
        <w:numPr>
          <w:ilvl w:val="0"/>
          <w:numId w:val="25"/>
        </w:numPr>
        <w:spacing w:before="45" w:after="45"/>
        <w:ind w:left="720"/>
        <w:rPr>
          <w:rFonts w:cs="Arial"/>
          <w:i/>
          <w:noProof/>
          <w:szCs w:val="22"/>
        </w:rPr>
      </w:pPr>
      <w:r w:rsidRPr="007B3D79">
        <w:rPr>
          <w:rFonts w:cs="Arial"/>
          <w:i/>
          <w:noProof/>
          <w:szCs w:val="22"/>
        </w:rPr>
        <w:t>enhance the balance of the portfolio (amend the maturity profile and/or the balance of volatility).</w:t>
      </w:r>
    </w:p>
    <w:p w:rsidR="00A60D91" w:rsidRPr="007B3D79" w:rsidRDefault="00A60D91" w:rsidP="00DA2B16">
      <w:pPr>
        <w:ind w:left="561" w:hanging="561"/>
        <w:jc w:val="both"/>
        <w:rPr>
          <w:rFonts w:cs="Arial"/>
          <w:bCs/>
          <w:noProof/>
          <w:szCs w:val="24"/>
        </w:rPr>
      </w:pPr>
    </w:p>
    <w:p w:rsidR="00DA0D3C" w:rsidRDefault="00DA2B16" w:rsidP="00DA2B16">
      <w:pPr>
        <w:ind w:left="561" w:hanging="561"/>
        <w:jc w:val="both"/>
        <w:rPr>
          <w:rFonts w:cs="Arial"/>
          <w:bCs/>
          <w:szCs w:val="24"/>
        </w:rPr>
      </w:pPr>
      <w:r w:rsidRPr="007B3D79">
        <w:rPr>
          <w:rFonts w:cs="Arial"/>
          <w:bCs/>
          <w:noProof/>
          <w:szCs w:val="24"/>
        </w:rPr>
        <w:t>6</w:t>
      </w:r>
      <w:r w:rsidR="00B32254">
        <w:rPr>
          <w:rFonts w:cs="Arial"/>
          <w:bCs/>
          <w:noProof/>
          <w:szCs w:val="24"/>
        </w:rPr>
        <w:t>2</w:t>
      </w:r>
      <w:r w:rsidRPr="007B3D79">
        <w:rPr>
          <w:rFonts w:cs="Arial"/>
          <w:bCs/>
          <w:noProof/>
          <w:szCs w:val="24"/>
        </w:rPr>
        <w:t>.</w:t>
      </w:r>
      <w:r w:rsidR="00093DAC">
        <w:rPr>
          <w:rFonts w:cs="Arial"/>
          <w:bCs/>
          <w:noProof/>
          <w:szCs w:val="24"/>
        </w:rPr>
        <w:tab/>
      </w:r>
      <w:r w:rsidRPr="007B3D79">
        <w:rPr>
          <w:rFonts w:cs="Arial"/>
          <w:bCs/>
          <w:szCs w:val="24"/>
        </w:rPr>
        <w:t>Opportunities to reduce the cost of debt by premature repayment or to improve the maturity profile are kept under review in discussion with the Treasury Management Adviser.  Early repayment of market loans is by negotiation. For PWLB loans, there are daily published prices for early repayment that allows analysis of the opportunities for restructuring.  There is currently a spread which has generally made restructuring uneconomic.</w:t>
      </w:r>
      <w:r w:rsidRPr="00DA2B16">
        <w:rPr>
          <w:rFonts w:cs="Arial"/>
          <w:bCs/>
          <w:szCs w:val="24"/>
        </w:rPr>
        <w:t xml:space="preserve"> </w:t>
      </w:r>
    </w:p>
    <w:p w:rsidR="00DA0D3C" w:rsidRDefault="00DA0D3C" w:rsidP="00DA2B16">
      <w:pPr>
        <w:ind w:left="561" w:hanging="561"/>
        <w:jc w:val="both"/>
        <w:rPr>
          <w:rFonts w:cs="Arial"/>
          <w:bCs/>
          <w:szCs w:val="24"/>
        </w:rPr>
      </w:pPr>
    </w:p>
    <w:p w:rsidR="00DA2B16" w:rsidRPr="007B3D79" w:rsidRDefault="00DA2B16" w:rsidP="00DA2B16">
      <w:pPr>
        <w:tabs>
          <w:tab w:val="num" w:pos="561"/>
        </w:tabs>
        <w:ind w:left="561" w:hanging="561"/>
        <w:jc w:val="both"/>
        <w:rPr>
          <w:rFonts w:cs="Arial"/>
          <w:bCs/>
          <w:noProof/>
        </w:rPr>
      </w:pPr>
      <w:r w:rsidRPr="007B3D79">
        <w:rPr>
          <w:rFonts w:cs="Arial"/>
          <w:bCs/>
          <w:szCs w:val="24"/>
        </w:rPr>
        <w:t>6</w:t>
      </w:r>
      <w:r w:rsidR="00B32254">
        <w:rPr>
          <w:rFonts w:cs="Arial"/>
          <w:bCs/>
          <w:szCs w:val="24"/>
        </w:rPr>
        <w:t>3</w:t>
      </w:r>
      <w:r w:rsidRPr="007B3D79">
        <w:rPr>
          <w:rFonts w:cs="Arial"/>
          <w:bCs/>
          <w:szCs w:val="24"/>
        </w:rPr>
        <w:t>.</w:t>
      </w:r>
      <w:r w:rsidR="00093DAC">
        <w:rPr>
          <w:rFonts w:cs="Arial"/>
          <w:bCs/>
          <w:szCs w:val="24"/>
        </w:rPr>
        <w:tab/>
      </w:r>
      <w:r w:rsidRPr="007B3D79">
        <w:rPr>
          <w:rFonts w:cs="Arial"/>
          <w:bCs/>
          <w:szCs w:val="24"/>
        </w:rPr>
        <w:t xml:space="preserve">Should any of the LOBO loans with interest rate reset dates in </w:t>
      </w:r>
      <w:r w:rsidR="00DD11AD" w:rsidRPr="007B3D79">
        <w:rPr>
          <w:rFonts w:cs="Arial"/>
          <w:bCs/>
          <w:szCs w:val="24"/>
        </w:rPr>
        <w:t>201</w:t>
      </w:r>
      <w:r w:rsidR="00DD11AD">
        <w:rPr>
          <w:rFonts w:cs="Arial"/>
          <w:bCs/>
          <w:szCs w:val="24"/>
        </w:rPr>
        <w:t>8</w:t>
      </w:r>
      <w:r w:rsidRPr="007B3D79">
        <w:rPr>
          <w:rFonts w:cs="Arial"/>
          <w:bCs/>
          <w:szCs w:val="24"/>
        </w:rPr>
        <w:t>-</w:t>
      </w:r>
      <w:r w:rsidR="00DD11AD" w:rsidRPr="007B3D79">
        <w:rPr>
          <w:rFonts w:cs="Arial"/>
          <w:bCs/>
          <w:szCs w:val="24"/>
        </w:rPr>
        <w:t>1</w:t>
      </w:r>
      <w:r w:rsidR="00DD11AD">
        <w:rPr>
          <w:rFonts w:cs="Arial"/>
          <w:bCs/>
          <w:szCs w:val="24"/>
        </w:rPr>
        <w:t>9</w:t>
      </w:r>
      <w:r w:rsidR="00555AEE">
        <w:rPr>
          <w:rFonts w:cs="Arial"/>
          <w:bCs/>
          <w:szCs w:val="24"/>
        </w:rPr>
        <w:t xml:space="preserve"> </w:t>
      </w:r>
      <w:r w:rsidRPr="00CB4A66">
        <w:rPr>
          <w:rFonts w:cs="Arial"/>
          <w:bCs/>
          <w:szCs w:val="24"/>
        </w:rPr>
        <w:t>(£</w:t>
      </w:r>
      <w:r w:rsidR="006D3AA3" w:rsidRPr="00CB4A66">
        <w:rPr>
          <w:rFonts w:cs="Arial"/>
          <w:bCs/>
          <w:szCs w:val="24"/>
        </w:rPr>
        <w:t>50</w:t>
      </w:r>
      <w:r w:rsidRPr="00CB4A66">
        <w:rPr>
          <w:rFonts w:cs="Arial"/>
          <w:bCs/>
          <w:szCs w:val="24"/>
        </w:rPr>
        <w:t>.8m</w:t>
      </w:r>
      <w:r w:rsidRPr="006D3AA3">
        <w:rPr>
          <w:rFonts w:cs="Arial"/>
          <w:bCs/>
          <w:szCs w:val="24"/>
        </w:rPr>
        <w:t>)</w:t>
      </w:r>
      <w:r w:rsidRPr="007B3D79">
        <w:rPr>
          <w:rFonts w:cs="Arial"/>
          <w:bCs/>
          <w:szCs w:val="24"/>
        </w:rPr>
        <w:t xml:space="preserve"> require refinancing, the most likely source </w:t>
      </w:r>
      <w:r w:rsidR="005362B9">
        <w:rPr>
          <w:rFonts w:cs="Arial"/>
          <w:bCs/>
          <w:szCs w:val="24"/>
        </w:rPr>
        <w:t>would</w:t>
      </w:r>
      <w:r w:rsidRPr="007B3D79">
        <w:rPr>
          <w:rFonts w:cs="Arial"/>
          <w:bCs/>
          <w:szCs w:val="24"/>
        </w:rPr>
        <w:t xml:space="preserve"> be external borrowing.</w:t>
      </w:r>
    </w:p>
    <w:p w:rsidR="00DA2B16" w:rsidRPr="007B3D79" w:rsidRDefault="00DA2B16" w:rsidP="00DA2B16">
      <w:pPr>
        <w:jc w:val="both"/>
        <w:rPr>
          <w:rFonts w:cs="Arial"/>
          <w:bCs/>
          <w:noProof/>
          <w:szCs w:val="24"/>
        </w:rPr>
      </w:pPr>
    </w:p>
    <w:p w:rsidR="00DA2B16" w:rsidRPr="00DA2B16" w:rsidRDefault="00DA2B16" w:rsidP="00DA2B16">
      <w:pPr>
        <w:ind w:left="561" w:hanging="561"/>
        <w:rPr>
          <w:rFonts w:cs="Arial"/>
          <w:b/>
          <w:szCs w:val="24"/>
        </w:rPr>
      </w:pPr>
      <w:r w:rsidRPr="007B3D79">
        <w:rPr>
          <w:szCs w:val="24"/>
        </w:rPr>
        <w:t>6</w:t>
      </w:r>
      <w:r w:rsidR="00B32254">
        <w:rPr>
          <w:szCs w:val="24"/>
        </w:rPr>
        <w:t>4</w:t>
      </w:r>
      <w:r w:rsidRPr="007B3D79">
        <w:rPr>
          <w:szCs w:val="24"/>
        </w:rPr>
        <w:t>.</w:t>
      </w:r>
      <w:r w:rsidR="00093DAC">
        <w:rPr>
          <w:szCs w:val="24"/>
        </w:rPr>
        <w:tab/>
      </w:r>
      <w:r w:rsidRPr="007B3D79">
        <w:rPr>
          <w:szCs w:val="24"/>
        </w:rPr>
        <w:t>All rescheduling will be reported to Cabinet at the earliest meeting following the exercise.</w:t>
      </w:r>
    </w:p>
    <w:p w:rsidR="00DA2B16" w:rsidRPr="00DA2B16" w:rsidRDefault="00DA2B16" w:rsidP="00DA2B16">
      <w:pPr>
        <w:rPr>
          <w:rFonts w:cs="Arial"/>
          <w:b/>
          <w:szCs w:val="24"/>
        </w:rPr>
      </w:pPr>
    </w:p>
    <w:p w:rsidR="00B32254" w:rsidRDefault="00B32254">
      <w:pPr>
        <w:rPr>
          <w:rFonts w:cs="Arial"/>
          <w:b/>
          <w:sz w:val="32"/>
          <w:szCs w:val="32"/>
        </w:rPr>
      </w:pPr>
    </w:p>
    <w:p w:rsidR="00DA2B16" w:rsidRPr="00093DAC" w:rsidRDefault="007F72D3" w:rsidP="00093DAC">
      <w:pPr>
        <w:rPr>
          <w:rFonts w:cs="Arial"/>
          <w:b/>
          <w:sz w:val="32"/>
          <w:szCs w:val="32"/>
        </w:rPr>
      </w:pPr>
      <w:r w:rsidRPr="00093DAC">
        <w:rPr>
          <w:rFonts w:cs="Arial"/>
          <w:b/>
          <w:sz w:val="32"/>
          <w:szCs w:val="32"/>
        </w:rPr>
        <w:t>4.</w:t>
      </w:r>
      <w:r w:rsidR="00DA2B16" w:rsidRPr="00093DAC">
        <w:rPr>
          <w:rFonts w:cs="Arial"/>
          <w:b/>
          <w:sz w:val="32"/>
          <w:szCs w:val="32"/>
        </w:rPr>
        <w:t xml:space="preserve"> Annual Investment Strategy </w:t>
      </w:r>
    </w:p>
    <w:p w:rsidR="00DA2B16" w:rsidRPr="007F72D3" w:rsidRDefault="007F72D3" w:rsidP="006C5AA5">
      <w:pPr>
        <w:spacing w:before="270" w:after="180"/>
        <w:ind w:left="142" w:hanging="142"/>
        <w:jc w:val="both"/>
        <w:rPr>
          <w:rFonts w:cs="Arial"/>
          <w:b/>
          <w:noProof/>
          <w:sz w:val="28"/>
          <w:szCs w:val="28"/>
        </w:rPr>
      </w:pPr>
      <w:bookmarkStart w:id="9" w:name="_Toc339459962"/>
      <w:r w:rsidRPr="007F72D3">
        <w:rPr>
          <w:rFonts w:cs="Arial"/>
          <w:b/>
          <w:noProof/>
          <w:sz w:val="28"/>
          <w:szCs w:val="28"/>
        </w:rPr>
        <w:t>4.1</w:t>
      </w:r>
      <w:r w:rsidR="00DA2B16" w:rsidRPr="007F72D3">
        <w:rPr>
          <w:rFonts w:cs="Arial"/>
          <w:b/>
          <w:noProof/>
          <w:sz w:val="28"/>
          <w:szCs w:val="28"/>
        </w:rPr>
        <w:t xml:space="preserve"> Investment policy</w:t>
      </w:r>
      <w:bookmarkEnd w:id="9"/>
    </w:p>
    <w:p w:rsidR="00DA2B16" w:rsidRDefault="008C25BC" w:rsidP="00165E08">
      <w:pPr>
        <w:tabs>
          <w:tab w:val="left" w:pos="567"/>
        </w:tabs>
        <w:jc w:val="both"/>
        <w:rPr>
          <w:rFonts w:cs="Arial"/>
          <w:noProof/>
          <w:szCs w:val="24"/>
        </w:rPr>
      </w:pPr>
      <w:r w:rsidRPr="003E2033">
        <w:rPr>
          <w:rFonts w:cs="Arial"/>
          <w:bCs/>
          <w:noProof/>
          <w:szCs w:val="24"/>
        </w:rPr>
        <w:t>6</w:t>
      </w:r>
      <w:r w:rsidR="00B32254">
        <w:rPr>
          <w:rFonts w:cs="Arial"/>
          <w:bCs/>
          <w:noProof/>
          <w:szCs w:val="24"/>
        </w:rPr>
        <w:t>5</w:t>
      </w:r>
      <w:r w:rsidR="00DA2B16" w:rsidRPr="007F72D3">
        <w:rPr>
          <w:rFonts w:cs="Arial"/>
          <w:noProof/>
          <w:szCs w:val="24"/>
        </w:rPr>
        <w:t>.</w:t>
      </w:r>
      <w:r w:rsidR="005F4E5C">
        <w:rPr>
          <w:rFonts w:cs="Arial"/>
          <w:noProof/>
          <w:szCs w:val="24"/>
        </w:rPr>
        <w:tab/>
      </w:r>
      <w:r w:rsidR="00DA2B16" w:rsidRPr="00165E08">
        <w:rPr>
          <w:szCs w:val="24"/>
        </w:rPr>
        <w:t>The</w:t>
      </w:r>
      <w:r w:rsidR="00DA2B16" w:rsidRPr="007F72D3">
        <w:rPr>
          <w:rFonts w:cs="Arial"/>
          <w:noProof/>
          <w:szCs w:val="24"/>
        </w:rPr>
        <w:t xml:space="preserve"> Council’s investment policy has regard to the </w:t>
      </w:r>
      <w:r w:rsidR="00DA2B16" w:rsidRPr="007F72D3">
        <w:rPr>
          <w:rFonts w:cs="Arial"/>
          <w:szCs w:val="24"/>
        </w:rPr>
        <w:t>Department for Communities and Local Government Investment Guidance and the</w:t>
      </w:r>
      <w:r w:rsidR="00DA2B16" w:rsidRPr="007F72D3">
        <w:rPr>
          <w:rFonts w:cs="Arial"/>
          <w:noProof/>
          <w:szCs w:val="24"/>
        </w:rPr>
        <w:t xml:space="preserve"> CIPFA Treasury Management Code. The Council’s investment priorities will be security first, liquidity second, then return.</w:t>
      </w:r>
    </w:p>
    <w:p w:rsidR="00854B7F" w:rsidRDefault="00854B7F" w:rsidP="00DA2B16">
      <w:pPr>
        <w:ind w:left="561" w:hanging="561"/>
        <w:jc w:val="both"/>
        <w:rPr>
          <w:rFonts w:cs="Arial"/>
          <w:noProof/>
          <w:szCs w:val="24"/>
        </w:rPr>
      </w:pPr>
    </w:p>
    <w:p w:rsidR="007E32F7" w:rsidRDefault="007E32F7" w:rsidP="00DA2B16">
      <w:pPr>
        <w:ind w:left="561" w:hanging="561"/>
        <w:jc w:val="both"/>
        <w:rPr>
          <w:rFonts w:cs="Arial"/>
          <w:noProof/>
          <w:szCs w:val="24"/>
        </w:rPr>
      </w:pPr>
    </w:p>
    <w:p w:rsidR="007E32F7" w:rsidRDefault="007E32F7" w:rsidP="00DA2B16">
      <w:pPr>
        <w:ind w:left="561" w:hanging="561"/>
        <w:jc w:val="both"/>
        <w:rPr>
          <w:rFonts w:cs="Arial"/>
          <w:noProof/>
          <w:szCs w:val="24"/>
        </w:rPr>
      </w:pPr>
    </w:p>
    <w:p w:rsidR="002A66BD" w:rsidRDefault="002A66BD" w:rsidP="00DA2B16">
      <w:pPr>
        <w:ind w:left="561" w:hanging="561"/>
        <w:jc w:val="both"/>
        <w:rPr>
          <w:rFonts w:cs="Arial"/>
          <w:noProof/>
          <w:szCs w:val="24"/>
        </w:rPr>
      </w:pPr>
    </w:p>
    <w:p w:rsidR="002A66BD" w:rsidRDefault="002A66BD" w:rsidP="00DA2B16">
      <w:pPr>
        <w:ind w:left="561" w:hanging="561"/>
        <w:jc w:val="both"/>
        <w:rPr>
          <w:rFonts w:cs="Arial"/>
          <w:noProof/>
          <w:szCs w:val="24"/>
        </w:rPr>
      </w:pPr>
    </w:p>
    <w:p w:rsidR="002A66BD" w:rsidRDefault="002A66BD" w:rsidP="00DA2B16">
      <w:pPr>
        <w:ind w:left="561" w:hanging="561"/>
        <w:jc w:val="both"/>
        <w:rPr>
          <w:rFonts w:cs="Arial"/>
          <w:noProof/>
          <w:szCs w:val="24"/>
        </w:rPr>
      </w:pPr>
    </w:p>
    <w:p w:rsidR="007E32F7" w:rsidRDefault="007E32F7" w:rsidP="00DA2B16">
      <w:pPr>
        <w:ind w:left="561" w:hanging="561"/>
        <w:jc w:val="both"/>
        <w:rPr>
          <w:rFonts w:cs="Arial"/>
          <w:noProof/>
          <w:szCs w:val="24"/>
        </w:rPr>
      </w:pPr>
    </w:p>
    <w:p w:rsidR="00854B7F" w:rsidRPr="00CB4A66" w:rsidRDefault="008C25BC" w:rsidP="00DA2B16">
      <w:pPr>
        <w:ind w:left="561" w:hanging="561"/>
        <w:jc w:val="both"/>
        <w:rPr>
          <w:rFonts w:cs="Arial"/>
          <w:noProof/>
          <w:szCs w:val="24"/>
        </w:rPr>
      </w:pPr>
      <w:r w:rsidRPr="006D3AA3">
        <w:rPr>
          <w:rFonts w:cs="Arial"/>
          <w:noProof/>
          <w:szCs w:val="24"/>
        </w:rPr>
        <w:lastRenderedPageBreak/>
        <w:t>6</w:t>
      </w:r>
      <w:r w:rsidR="00B32254">
        <w:rPr>
          <w:rFonts w:cs="Arial"/>
          <w:noProof/>
          <w:szCs w:val="24"/>
        </w:rPr>
        <w:t>6</w:t>
      </w:r>
      <w:r w:rsidR="00854B7F" w:rsidRPr="00CB4A66">
        <w:rPr>
          <w:rFonts w:cs="Arial"/>
          <w:noProof/>
          <w:szCs w:val="24"/>
        </w:rPr>
        <w:t>.</w:t>
      </w:r>
      <w:r w:rsidR="005F4E5C" w:rsidRPr="00CB4A66">
        <w:rPr>
          <w:rFonts w:cs="Arial"/>
          <w:noProof/>
          <w:szCs w:val="24"/>
        </w:rPr>
        <w:tab/>
      </w:r>
      <w:r w:rsidR="00854B7F" w:rsidRPr="00CB4A66">
        <w:rPr>
          <w:rFonts w:cs="Arial"/>
          <w:noProof/>
          <w:szCs w:val="24"/>
        </w:rPr>
        <w:t xml:space="preserve">Advice received from </w:t>
      </w:r>
      <w:r w:rsidR="00E24E6F" w:rsidRPr="00CB4A66">
        <w:rPr>
          <w:rFonts w:cs="Arial"/>
          <w:noProof/>
          <w:szCs w:val="24"/>
        </w:rPr>
        <w:t xml:space="preserve">Link Asset Services </w:t>
      </w:r>
      <w:r w:rsidR="00854B7F" w:rsidRPr="00CB4A66">
        <w:rPr>
          <w:rFonts w:cs="Arial"/>
          <w:noProof/>
          <w:szCs w:val="24"/>
        </w:rPr>
        <w:t>is:</w:t>
      </w:r>
    </w:p>
    <w:p w:rsidR="00854B7F" w:rsidRPr="00CB4A66" w:rsidRDefault="00854B7F" w:rsidP="00DA2B16">
      <w:pPr>
        <w:ind w:left="561" w:hanging="561"/>
        <w:jc w:val="both"/>
        <w:rPr>
          <w:rFonts w:cs="Arial"/>
          <w:noProof/>
          <w:szCs w:val="24"/>
        </w:rPr>
      </w:pPr>
    </w:p>
    <w:p w:rsidR="00854B7F" w:rsidRPr="00CB4A66" w:rsidRDefault="00854B7F" w:rsidP="00854B7F">
      <w:pPr>
        <w:autoSpaceDE w:val="0"/>
        <w:autoSpaceDN w:val="0"/>
        <w:adjustRightInd w:val="0"/>
        <w:jc w:val="both"/>
        <w:rPr>
          <w:rFonts w:cs="Arial"/>
          <w:bCs/>
          <w:i/>
          <w:color w:val="000000"/>
          <w:szCs w:val="24"/>
        </w:rPr>
      </w:pPr>
      <w:r w:rsidRPr="00CB4A66">
        <w:rPr>
          <w:rFonts w:cs="Arial"/>
          <w:bCs/>
          <w:i/>
          <w:color w:val="000000"/>
          <w:szCs w:val="24"/>
        </w:rPr>
        <w:t>We remain in a very difficult investment environment. Whilst counterparty risk appears to have eased, market sentiment has still been subject to bouts of, sometimes, extreme volatility and economic forecasts abound with uncertainty. However, we also have a very accommodating monetary policy - reflected in a 0.</w:t>
      </w:r>
      <w:r w:rsidR="00631435" w:rsidRPr="00CB4A66">
        <w:rPr>
          <w:rFonts w:cs="Arial"/>
          <w:bCs/>
          <w:i/>
          <w:color w:val="000000"/>
          <w:szCs w:val="24"/>
        </w:rPr>
        <w:t>50</w:t>
      </w:r>
      <w:r w:rsidRPr="00CB4A66">
        <w:rPr>
          <w:rFonts w:cs="Arial"/>
          <w:bCs/>
          <w:i/>
          <w:color w:val="000000"/>
          <w:szCs w:val="24"/>
        </w:rPr>
        <w:t>% Bank Rate. As a consequence, authorities are not getting much of a return from deposits. Against this backdrop it is, nevertheless, easy to forget recent history, ignore market warnings and search for that</w:t>
      </w:r>
      <w:r w:rsidRPr="006D3AA3">
        <w:rPr>
          <w:rFonts w:cs="Arial"/>
          <w:bCs/>
          <w:i/>
          <w:color w:val="000000"/>
          <w:szCs w:val="24"/>
        </w:rPr>
        <w:t xml:space="preserve"> </w:t>
      </w:r>
      <w:r w:rsidRPr="00CB4A66">
        <w:rPr>
          <w:rFonts w:cs="Arial"/>
          <w:bCs/>
          <w:i/>
          <w:color w:val="000000"/>
          <w:szCs w:val="24"/>
        </w:rPr>
        <w:t>extra return to ease revenue budget pressures. In this respect, we are seeing an increase in investment “opportunities” being offered to clients or being discussed in the wider press. What then, should you consider when these are offered?</w:t>
      </w:r>
    </w:p>
    <w:p w:rsidR="00854B7F" w:rsidRPr="00CB4A66" w:rsidRDefault="00854B7F" w:rsidP="00854B7F">
      <w:pPr>
        <w:autoSpaceDE w:val="0"/>
        <w:autoSpaceDN w:val="0"/>
        <w:adjustRightInd w:val="0"/>
        <w:jc w:val="both"/>
        <w:rPr>
          <w:rFonts w:cs="Arial"/>
          <w:bCs/>
          <w:i/>
          <w:color w:val="000000"/>
          <w:szCs w:val="24"/>
        </w:rPr>
      </w:pPr>
    </w:p>
    <w:p w:rsidR="00854B7F" w:rsidRPr="00CB4A66" w:rsidRDefault="00854B7F" w:rsidP="00854B7F">
      <w:pPr>
        <w:autoSpaceDE w:val="0"/>
        <w:autoSpaceDN w:val="0"/>
        <w:adjustRightInd w:val="0"/>
        <w:jc w:val="both"/>
        <w:rPr>
          <w:rFonts w:cs="Arial"/>
          <w:bCs/>
          <w:i/>
          <w:color w:val="000000"/>
          <w:szCs w:val="24"/>
        </w:rPr>
      </w:pPr>
      <w:r w:rsidRPr="00CB4A66">
        <w:rPr>
          <w:rFonts w:cs="Arial"/>
          <w:bCs/>
          <w:i/>
          <w:color w:val="000000"/>
          <w:szCs w:val="24"/>
        </w:rPr>
        <w:t>We suggest that you “look under the bonnet” when considering pooled investment vehicles, although this applies to any investment opportunity. It is not enough that other councils are investing in a scheme or an investment opportunity: you are tasked through market rules to understand the “product” and appreciate the risks before investing. A quote from the Financial Conduct Authority puts the environment in context.</w:t>
      </w:r>
    </w:p>
    <w:p w:rsidR="00854B7F" w:rsidRPr="00CB4A66" w:rsidRDefault="00854B7F" w:rsidP="00854B7F">
      <w:pPr>
        <w:autoSpaceDE w:val="0"/>
        <w:autoSpaceDN w:val="0"/>
        <w:adjustRightInd w:val="0"/>
        <w:ind w:left="360"/>
        <w:jc w:val="both"/>
        <w:rPr>
          <w:rFonts w:cs="Arial"/>
          <w:bCs/>
          <w:i/>
          <w:color w:val="000000"/>
          <w:szCs w:val="24"/>
        </w:rPr>
      </w:pPr>
      <w:r w:rsidRPr="00CB4A66">
        <w:rPr>
          <w:rFonts w:cs="Arial"/>
          <w:bCs/>
          <w:i/>
          <w:color w:val="000000"/>
          <w:szCs w:val="24"/>
        </w:rPr>
        <w:t>The main risks in the industry for the coming year are firms designing products that: -</w:t>
      </w:r>
    </w:p>
    <w:p w:rsidR="00854B7F" w:rsidRPr="00CB4A66" w:rsidRDefault="00854B7F" w:rsidP="00854B7F">
      <w:pPr>
        <w:numPr>
          <w:ilvl w:val="0"/>
          <w:numId w:val="35"/>
        </w:numPr>
        <w:autoSpaceDE w:val="0"/>
        <w:autoSpaceDN w:val="0"/>
        <w:adjustRightInd w:val="0"/>
        <w:ind w:left="1080"/>
        <w:jc w:val="both"/>
        <w:rPr>
          <w:rFonts w:cs="Arial"/>
          <w:bCs/>
          <w:i/>
          <w:color w:val="000000"/>
          <w:szCs w:val="24"/>
        </w:rPr>
      </w:pPr>
      <w:r w:rsidRPr="00CB4A66">
        <w:rPr>
          <w:rFonts w:cs="Arial"/>
          <w:bCs/>
          <w:i/>
          <w:color w:val="000000"/>
          <w:szCs w:val="24"/>
        </w:rPr>
        <w:t>aren’t in the long-term interest of consumers</w:t>
      </w:r>
    </w:p>
    <w:p w:rsidR="00854B7F" w:rsidRPr="00CB4A66" w:rsidRDefault="00854B7F" w:rsidP="00854B7F">
      <w:pPr>
        <w:numPr>
          <w:ilvl w:val="0"/>
          <w:numId w:val="35"/>
        </w:numPr>
        <w:autoSpaceDE w:val="0"/>
        <w:autoSpaceDN w:val="0"/>
        <w:adjustRightInd w:val="0"/>
        <w:ind w:left="1080"/>
        <w:jc w:val="both"/>
        <w:rPr>
          <w:rFonts w:cs="Arial"/>
          <w:bCs/>
          <w:i/>
          <w:color w:val="000000"/>
          <w:szCs w:val="24"/>
        </w:rPr>
      </w:pPr>
      <w:r w:rsidRPr="00CB4A66">
        <w:rPr>
          <w:rFonts w:cs="Arial"/>
          <w:bCs/>
          <w:i/>
          <w:color w:val="000000"/>
          <w:szCs w:val="24"/>
        </w:rPr>
        <w:t>don’t respond to their needs</w:t>
      </w:r>
    </w:p>
    <w:p w:rsidR="00854B7F" w:rsidRPr="00CB4A66" w:rsidRDefault="00854B7F" w:rsidP="00854B7F">
      <w:pPr>
        <w:numPr>
          <w:ilvl w:val="0"/>
          <w:numId w:val="35"/>
        </w:numPr>
        <w:autoSpaceDE w:val="0"/>
        <w:autoSpaceDN w:val="0"/>
        <w:adjustRightInd w:val="0"/>
        <w:ind w:left="1080"/>
        <w:jc w:val="both"/>
        <w:rPr>
          <w:rFonts w:cs="Arial"/>
          <w:bCs/>
          <w:i/>
          <w:color w:val="000000"/>
          <w:szCs w:val="24"/>
        </w:rPr>
      </w:pPr>
      <w:r w:rsidRPr="00CB4A66">
        <w:rPr>
          <w:rFonts w:cs="Arial"/>
          <w:bCs/>
          <w:i/>
          <w:color w:val="000000"/>
          <w:szCs w:val="24"/>
        </w:rPr>
        <w:t>encompass a lack of transparency on what’s being sold</w:t>
      </w:r>
    </w:p>
    <w:p w:rsidR="00854B7F" w:rsidRPr="00CB4A66" w:rsidRDefault="00854B7F" w:rsidP="00854B7F">
      <w:pPr>
        <w:numPr>
          <w:ilvl w:val="0"/>
          <w:numId w:val="35"/>
        </w:numPr>
        <w:autoSpaceDE w:val="0"/>
        <w:autoSpaceDN w:val="0"/>
        <w:adjustRightInd w:val="0"/>
        <w:ind w:left="1080"/>
        <w:jc w:val="both"/>
        <w:rPr>
          <w:rFonts w:cs="Arial"/>
          <w:bCs/>
          <w:i/>
          <w:color w:val="000000"/>
          <w:szCs w:val="24"/>
        </w:rPr>
      </w:pPr>
      <w:r w:rsidRPr="00CB4A66">
        <w:rPr>
          <w:rFonts w:cs="Arial"/>
          <w:bCs/>
          <w:i/>
          <w:color w:val="000000"/>
          <w:szCs w:val="24"/>
        </w:rPr>
        <w:t>lead to a poor understanding by consumers of risk</w:t>
      </w:r>
    </w:p>
    <w:p w:rsidR="00854B7F" w:rsidRPr="00CB4A66" w:rsidRDefault="00854B7F" w:rsidP="00854B7F">
      <w:pPr>
        <w:numPr>
          <w:ilvl w:val="0"/>
          <w:numId w:val="35"/>
        </w:numPr>
        <w:autoSpaceDE w:val="0"/>
        <w:autoSpaceDN w:val="0"/>
        <w:adjustRightInd w:val="0"/>
        <w:ind w:left="1080"/>
        <w:jc w:val="both"/>
        <w:rPr>
          <w:rFonts w:cs="Arial"/>
          <w:bCs/>
          <w:i/>
          <w:color w:val="000000"/>
          <w:szCs w:val="24"/>
        </w:rPr>
      </w:pPr>
      <w:r w:rsidRPr="00CB4A66">
        <w:rPr>
          <w:rFonts w:cs="Arial"/>
          <w:bCs/>
          <w:i/>
          <w:color w:val="000000"/>
          <w:szCs w:val="24"/>
        </w:rPr>
        <w:t>shift toward more complex structured products that lack oversight.</w:t>
      </w:r>
    </w:p>
    <w:p w:rsidR="00854B7F" w:rsidRPr="00854B7F" w:rsidRDefault="00854B7F" w:rsidP="00854B7F">
      <w:pPr>
        <w:jc w:val="both"/>
        <w:rPr>
          <w:rFonts w:cs="Arial"/>
          <w:i/>
          <w:color w:val="0D0D0D"/>
          <w:szCs w:val="24"/>
        </w:rPr>
      </w:pPr>
    </w:p>
    <w:p w:rsidR="00DA2B16" w:rsidRPr="007F72D3" w:rsidRDefault="008C25BC" w:rsidP="00DA2B16">
      <w:pPr>
        <w:ind w:left="561" w:hanging="561"/>
        <w:jc w:val="both"/>
        <w:rPr>
          <w:rFonts w:cs="Arial"/>
          <w:noProof/>
          <w:szCs w:val="24"/>
        </w:rPr>
      </w:pPr>
      <w:r>
        <w:rPr>
          <w:rFonts w:cs="Arial"/>
          <w:noProof/>
          <w:szCs w:val="24"/>
        </w:rPr>
        <w:t>6</w:t>
      </w:r>
      <w:r w:rsidR="00165E08">
        <w:rPr>
          <w:rFonts w:cs="Arial"/>
          <w:noProof/>
          <w:szCs w:val="24"/>
        </w:rPr>
        <w:t>7</w:t>
      </w:r>
      <w:r w:rsidR="00DA2B16" w:rsidRPr="00DA2B16">
        <w:rPr>
          <w:rFonts w:cs="Arial"/>
          <w:noProof/>
          <w:szCs w:val="24"/>
        </w:rPr>
        <w:t>.</w:t>
      </w:r>
      <w:r w:rsidR="005F4E5C">
        <w:rPr>
          <w:rFonts w:cs="Arial"/>
          <w:noProof/>
          <w:szCs w:val="24"/>
        </w:rPr>
        <w:tab/>
      </w:r>
      <w:r w:rsidR="00DA2B16" w:rsidRPr="007F72D3">
        <w:rPr>
          <w:rFonts w:cs="Arial"/>
          <w:noProof/>
          <w:szCs w:val="24"/>
        </w:rPr>
        <w:t xml:space="preserve">In accordance with the above guidance and in order to minimise the risk to investments, the Council </w:t>
      </w:r>
      <w:r w:rsidR="007F72D3" w:rsidRPr="007F72D3">
        <w:rPr>
          <w:rFonts w:cs="Arial"/>
          <w:noProof/>
          <w:szCs w:val="24"/>
        </w:rPr>
        <w:t xml:space="preserve">in </w:t>
      </w:r>
      <w:r w:rsidR="007F72D3" w:rsidRPr="00152F17">
        <w:rPr>
          <w:rFonts w:cs="Arial"/>
          <w:noProof/>
          <w:szCs w:val="24"/>
        </w:rPr>
        <w:t xml:space="preserve">Appendix </w:t>
      </w:r>
      <w:r w:rsidR="00152F17" w:rsidRPr="00152F17">
        <w:rPr>
          <w:rFonts w:cs="Arial"/>
          <w:noProof/>
          <w:szCs w:val="24"/>
        </w:rPr>
        <w:t>F</w:t>
      </w:r>
      <w:r w:rsidR="00DA2B16" w:rsidRPr="00152F17">
        <w:rPr>
          <w:rFonts w:cs="Arial"/>
          <w:noProof/>
          <w:szCs w:val="24"/>
        </w:rPr>
        <w:t xml:space="preserve"> clearly stipulates the minimum acceptable credit quality of counterparties for inclusion</w:t>
      </w:r>
      <w:r w:rsidR="00DA2B16" w:rsidRPr="007F72D3">
        <w:rPr>
          <w:rFonts w:cs="Arial"/>
          <w:noProof/>
          <w:szCs w:val="24"/>
        </w:rPr>
        <w:t xml:space="preserve"> on the lending list. The creditworthiness methodology used to create the counterparty list fully accounts for the ratings, watches and outlooks published by all three ratings agencies. The Treasury Management Adviser monitors counterparty ratings on a real time basis with knowledge of any changes advised electronically as the agencies notify modifications.</w:t>
      </w:r>
    </w:p>
    <w:p w:rsidR="00DA2B16" w:rsidRPr="007F72D3" w:rsidRDefault="00DA2B16" w:rsidP="00DA2B16">
      <w:pPr>
        <w:jc w:val="both"/>
        <w:rPr>
          <w:rFonts w:cs="Arial"/>
          <w:noProof/>
          <w:szCs w:val="24"/>
        </w:rPr>
      </w:pPr>
    </w:p>
    <w:p w:rsidR="00007E2C" w:rsidRDefault="00007E2C" w:rsidP="00DA2B16">
      <w:pPr>
        <w:ind w:left="561" w:hanging="561"/>
        <w:jc w:val="both"/>
        <w:rPr>
          <w:rFonts w:cs="Arial"/>
          <w:noProof/>
          <w:szCs w:val="24"/>
        </w:rPr>
      </w:pPr>
    </w:p>
    <w:p w:rsidR="00DA2B16" w:rsidRPr="007F72D3" w:rsidRDefault="003E2033" w:rsidP="00DA2B16">
      <w:pPr>
        <w:ind w:left="561" w:hanging="561"/>
        <w:jc w:val="both"/>
        <w:rPr>
          <w:rFonts w:cs="Arial"/>
          <w:noProof/>
          <w:szCs w:val="24"/>
        </w:rPr>
      </w:pPr>
      <w:r>
        <w:rPr>
          <w:rFonts w:cs="Arial"/>
          <w:noProof/>
          <w:szCs w:val="24"/>
        </w:rPr>
        <w:t>6</w:t>
      </w:r>
      <w:r w:rsidR="00165E08">
        <w:rPr>
          <w:rFonts w:cs="Arial"/>
          <w:noProof/>
          <w:szCs w:val="24"/>
        </w:rPr>
        <w:t>8</w:t>
      </w:r>
      <w:r w:rsidR="00DA2B16" w:rsidRPr="007F72D3">
        <w:rPr>
          <w:rFonts w:cs="Arial"/>
          <w:noProof/>
          <w:szCs w:val="24"/>
        </w:rPr>
        <w:t>.</w:t>
      </w:r>
      <w:r w:rsidR="005F4E5C">
        <w:rPr>
          <w:rFonts w:cs="Arial"/>
          <w:noProof/>
          <w:szCs w:val="24"/>
        </w:rPr>
        <w:tab/>
      </w:r>
      <w:r w:rsidR="00DA2B16" w:rsidRPr="007F72D3">
        <w:rPr>
          <w:rFonts w:cs="Arial"/>
          <w:noProof/>
          <w:szCs w:val="24"/>
        </w:rPr>
        <w:t xml:space="preserve">Further, the Council’s officers recognise that ratings should not be the sole determinant of the quality of an institution and that it is important to assess continually and monitor the financial sector on both a micro and macro basis and in relation to the economic and political environments in which institutions operate. The assessment will also take account of information that reflects the opinion of the markets. To this end the Council will engage with its </w:t>
      </w:r>
      <w:r w:rsidR="00F43823">
        <w:rPr>
          <w:rFonts w:cs="Arial"/>
          <w:noProof/>
          <w:szCs w:val="24"/>
        </w:rPr>
        <w:t>A</w:t>
      </w:r>
      <w:r w:rsidR="00DA2B16" w:rsidRPr="007F72D3">
        <w:rPr>
          <w:rFonts w:cs="Arial"/>
          <w:noProof/>
          <w:szCs w:val="24"/>
        </w:rPr>
        <w:t xml:space="preserve">dviser to maintain a monitor on market pricing such as “credit default swaps” and overlay that information on top of the credit ratings. </w:t>
      </w:r>
    </w:p>
    <w:p w:rsidR="006C5AA5" w:rsidRDefault="006C5AA5" w:rsidP="00DA2B16">
      <w:pPr>
        <w:ind w:left="561" w:hanging="561"/>
        <w:jc w:val="both"/>
        <w:rPr>
          <w:rFonts w:cs="Arial"/>
          <w:noProof/>
          <w:szCs w:val="24"/>
        </w:rPr>
      </w:pPr>
    </w:p>
    <w:p w:rsidR="00DA2B16" w:rsidRPr="00DA2B16" w:rsidRDefault="00165E08" w:rsidP="00DA2B16">
      <w:pPr>
        <w:ind w:left="561" w:hanging="561"/>
        <w:jc w:val="both"/>
        <w:rPr>
          <w:rFonts w:cs="Arial"/>
          <w:noProof/>
          <w:szCs w:val="24"/>
        </w:rPr>
      </w:pPr>
      <w:r>
        <w:rPr>
          <w:rFonts w:cs="Arial"/>
          <w:noProof/>
          <w:szCs w:val="24"/>
        </w:rPr>
        <w:t>69</w:t>
      </w:r>
      <w:r w:rsidR="00DA2B16" w:rsidRPr="007F72D3">
        <w:rPr>
          <w:rFonts w:cs="Arial"/>
          <w:noProof/>
          <w:szCs w:val="24"/>
        </w:rPr>
        <w:t>.</w:t>
      </w:r>
      <w:r w:rsidR="005F4E5C">
        <w:rPr>
          <w:rFonts w:cs="Arial"/>
          <w:noProof/>
          <w:szCs w:val="24"/>
        </w:rPr>
        <w:tab/>
      </w:r>
      <w:r w:rsidR="00DA2B16" w:rsidRPr="007F72D3">
        <w:rPr>
          <w:rFonts w:cs="Arial"/>
          <w:noProof/>
          <w:szCs w:val="24"/>
        </w:rPr>
        <w:t>The aim of the strategy is to generate a list of highly creditworthy counterparties which will provide security of investments, enable divesification and minimise risk.</w:t>
      </w:r>
    </w:p>
    <w:p w:rsidR="00DA2B16" w:rsidRPr="00DA2B16" w:rsidRDefault="00DA2B16" w:rsidP="00DA2B16">
      <w:pPr>
        <w:numPr>
          <w:ilvl w:val="12"/>
          <w:numId w:val="0"/>
        </w:numPr>
        <w:tabs>
          <w:tab w:val="left" w:pos="360"/>
        </w:tabs>
        <w:jc w:val="both"/>
        <w:rPr>
          <w:rFonts w:cs="Arial"/>
          <w:noProof/>
          <w:szCs w:val="24"/>
        </w:rPr>
      </w:pPr>
    </w:p>
    <w:p w:rsidR="00DA2B16" w:rsidRDefault="00DA2B16" w:rsidP="00DA2B16">
      <w:pPr>
        <w:tabs>
          <w:tab w:val="left" w:pos="561"/>
        </w:tabs>
        <w:ind w:left="561" w:hanging="561"/>
        <w:jc w:val="both"/>
        <w:rPr>
          <w:rFonts w:cs="Arial"/>
          <w:noProof/>
          <w:szCs w:val="24"/>
        </w:rPr>
      </w:pPr>
      <w:r w:rsidRPr="00DA2B16">
        <w:rPr>
          <w:rFonts w:cs="Arial"/>
          <w:noProof/>
          <w:szCs w:val="24"/>
        </w:rPr>
        <w:lastRenderedPageBreak/>
        <w:t>7</w:t>
      </w:r>
      <w:r w:rsidR="00165E08">
        <w:rPr>
          <w:rFonts w:cs="Arial"/>
          <w:noProof/>
          <w:szCs w:val="24"/>
        </w:rPr>
        <w:t>0</w:t>
      </w:r>
      <w:r w:rsidRPr="00DA2B16">
        <w:rPr>
          <w:rFonts w:cs="Arial"/>
          <w:noProof/>
          <w:szCs w:val="24"/>
        </w:rPr>
        <w:t>.</w:t>
      </w:r>
      <w:r w:rsidR="005F4E5C">
        <w:rPr>
          <w:rFonts w:cs="Arial"/>
          <w:noProof/>
          <w:szCs w:val="24"/>
        </w:rPr>
        <w:tab/>
      </w:r>
      <w:r w:rsidRPr="007F72D3">
        <w:rPr>
          <w:rFonts w:cs="Arial"/>
          <w:noProof/>
          <w:szCs w:val="24"/>
        </w:rPr>
        <w:t>Investment instruments identified for current use are listed in</w:t>
      </w:r>
      <w:r w:rsidR="007F72D3">
        <w:rPr>
          <w:rFonts w:cs="Arial"/>
          <w:noProof/>
          <w:szCs w:val="24"/>
        </w:rPr>
        <w:t xml:space="preserve"> </w:t>
      </w:r>
      <w:r w:rsidR="007F72D3" w:rsidRPr="00152F17">
        <w:rPr>
          <w:rFonts w:cs="Arial"/>
          <w:noProof/>
          <w:szCs w:val="24"/>
        </w:rPr>
        <w:t xml:space="preserve">Appendix </w:t>
      </w:r>
      <w:r w:rsidR="0043543F">
        <w:rPr>
          <w:rFonts w:cs="Arial"/>
          <w:noProof/>
          <w:szCs w:val="24"/>
        </w:rPr>
        <w:t>F</w:t>
      </w:r>
      <w:r w:rsidRPr="00152F17">
        <w:rPr>
          <w:rFonts w:cs="Arial"/>
          <w:noProof/>
          <w:szCs w:val="24"/>
        </w:rPr>
        <w:t xml:space="preserve"> under the ‘specified’ and ‘non-specified’ investments categories. Counterparty lim</w:t>
      </w:r>
      <w:r w:rsidRPr="007F72D3">
        <w:rPr>
          <w:rFonts w:cs="Arial"/>
          <w:noProof/>
          <w:szCs w:val="24"/>
        </w:rPr>
        <w:t>its will be as set through the Council’s Treasury Management Practices.</w:t>
      </w:r>
      <w:r w:rsidRPr="00DA2B16">
        <w:rPr>
          <w:rFonts w:cs="Arial"/>
          <w:noProof/>
          <w:szCs w:val="24"/>
        </w:rPr>
        <w:t xml:space="preserve">  </w:t>
      </w:r>
    </w:p>
    <w:p w:rsidR="003F23C2" w:rsidRDefault="003F23C2" w:rsidP="00DA2B16">
      <w:pPr>
        <w:tabs>
          <w:tab w:val="left" w:pos="561"/>
        </w:tabs>
        <w:ind w:left="561" w:hanging="561"/>
        <w:jc w:val="both"/>
        <w:rPr>
          <w:rFonts w:cs="Arial"/>
          <w:noProof/>
          <w:szCs w:val="24"/>
        </w:rPr>
      </w:pPr>
    </w:p>
    <w:p w:rsidR="00DA2B16" w:rsidRPr="007F72D3" w:rsidRDefault="007F72D3" w:rsidP="006C5AA5">
      <w:pPr>
        <w:spacing w:before="270" w:after="180"/>
        <w:ind w:left="142" w:hanging="142"/>
        <w:jc w:val="both"/>
        <w:rPr>
          <w:rFonts w:cs="Arial"/>
          <w:b/>
          <w:noProof/>
          <w:sz w:val="28"/>
          <w:szCs w:val="28"/>
        </w:rPr>
      </w:pPr>
      <w:bookmarkStart w:id="10" w:name="_Toc339459963"/>
      <w:r w:rsidRPr="007F72D3">
        <w:rPr>
          <w:rFonts w:cs="Arial"/>
          <w:b/>
          <w:noProof/>
          <w:sz w:val="28"/>
          <w:szCs w:val="28"/>
        </w:rPr>
        <w:t>4.2</w:t>
      </w:r>
      <w:r w:rsidR="00DA2B16" w:rsidRPr="007F72D3">
        <w:rPr>
          <w:rFonts w:cs="Arial"/>
          <w:b/>
          <w:noProof/>
          <w:sz w:val="28"/>
          <w:szCs w:val="28"/>
        </w:rPr>
        <w:t xml:space="preserve"> Creditworthiness policy</w:t>
      </w:r>
      <w:bookmarkEnd w:id="10"/>
      <w:r w:rsidR="00DA2B16" w:rsidRPr="007F72D3">
        <w:rPr>
          <w:rFonts w:cs="Arial"/>
          <w:b/>
          <w:noProof/>
          <w:sz w:val="28"/>
          <w:szCs w:val="28"/>
        </w:rPr>
        <w:t xml:space="preserve"> </w:t>
      </w:r>
    </w:p>
    <w:p w:rsidR="00DA2B16" w:rsidRPr="007F72D3" w:rsidRDefault="00DA2B16" w:rsidP="00DA2B16">
      <w:pPr>
        <w:spacing w:after="120"/>
        <w:ind w:left="561" w:hanging="561"/>
        <w:jc w:val="both"/>
        <w:rPr>
          <w:rFonts w:cs="Arial"/>
          <w:szCs w:val="24"/>
        </w:rPr>
      </w:pPr>
      <w:r w:rsidRPr="007F72D3">
        <w:rPr>
          <w:rFonts w:cs="Arial"/>
          <w:szCs w:val="24"/>
        </w:rPr>
        <w:t>7</w:t>
      </w:r>
      <w:r w:rsidR="00165E08">
        <w:rPr>
          <w:rFonts w:cs="Arial"/>
          <w:szCs w:val="24"/>
        </w:rPr>
        <w:t>1</w:t>
      </w:r>
      <w:r w:rsidRPr="007F72D3">
        <w:rPr>
          <w:rFonts w:cs="Arial"/>
          <w:szCs w:val="24"/>
        </w:rPr>
        <w:t>.</w:t>
      </w:r>
      <w:r w:rsidR="005F4E5C">
        <w:rPr>
          <w:rFonts w:cs="Arial"/>
          <w:szCs w:val="24"/>
        </w:rPr>
        <w:tab/>
      </w:r>
      <w:r w:rsidRPr="007F72D3">
        <w:rPr>
          <w:rFonts w:cs="Arial"/>
          <w:szCs w:val="24"/>
        </w:rPr>
        <w:t>The primary principle governing the Council’s investment criteria is the security of its investments, although the return on the investmen</w:t>
      </w:r>
      <w:r w:rsidR="005F4E5C">
        <w:rPr>
          <w:rFonts w:cs="Arial"/>
          <w:szCs w:val="24"/>
        </w:rPr>
        <w:t xml:space="preserve">t is also a key consideration. </w:t>
      </w:r>
      <w:r w:rsidRPr="007F72D3">
        <w:rPr>
          <w:rFonts w:cs="Arial"/>
          <w:szCs w:val="24"/>
        </w:rPr>
        <w:t>After this main principle, the Council will ensure that:</w:t>
      </w:r>
    </w:p>
    <w:p w:rsidR="00DA2B16" w:rsidRPr="007F72D3" w:rsidRDefault="00DA2B16" w:rsidP="005F4E5C">
      <w:pPr>
        <w:numPr>
          <w:ilvl w:val="0"/>
          <w:numId w:val="21"/>
        </w:numPr>
        <w:tabs>
          <w:tab w:val="num" w:pos="1134"/>
        </w:tabs>
        <w:spacing w:after="120"/>
        <w:ind w:left="1134" w:hanging="414"/>
        <w:jc w:val="both"/>
        <w:rPr>
          <w:rFonts w:cs="Arial"/>
          <w:iCs/>
          <w:szCs w:val="24"/>
        </w:rPr>
      </w:pPr>
      <w:r w:rsidRPr="007F72D3">
        <w:rPr>
          <w:rFonts w:cs="Arial"/>
          <w:iCs/>
          <w:szCs w:val="24"/>
        </w:rPr>
        <w:t>It maintains a policy covering both the categories of investment types it will invest in, criteria for choosing investment counterparties with adequate security, and monitoring their security. This is set out in the specified and non-specified investment sections below; and</w:t>
      </w:r>
    </w:p>
    <w:p w:rsidR="00DA2B16" w:rsidRPr="007F72D3" w:rsidRDefault="00DA2B16" w:rsidP="005F4E5C">
      <w:pPr>
        <w:numPr>
          <w:ilvl w:val="0"/>
          <w:numId w:val="21"/>
        </w:numPr>
        <w:tabs>
          <w:tab w:val="num" w:pos="1134"/>
        </w:tabs>
        <w:spacing w:after="120"/>
        <w:ind w:left="1134" w:hanging="414"/>
        <w:jc w:val="both"/>
        <w:rPr>
          <w:rFonts w:cs="Arial"/>
          <w:iCs/>
          <w:szCs w:val="24"/>
        </w:rPr>
      </w:pPr>
      <w:r w:rsidRPr="007F72D3">
        <w:rPr>
          <w:rFonts w:cs="Arial"/>
          <w:iCs/>
          <w:szCs w:val="24"/>
        </w:rPr>
        <w:t>It has sufficient liquidity in its investments. For this purpose it will set out procedures for determining the maximum periods for which funds may prudently be committed.</w:t>
      </w:r>
      <w:r w:rsidR="005F4E5C">
        <w:rPr>
          <w:rFonts w:cs="Arial"/>
          <w:iCs/>
          <w:szCs w:val="24"/>
        </w:rPr>
        <w:t xml:space="preserve"> </w:t>
      </w:r>
      <w:r w:rsidRPr="007F72D3">
        <w:rPr>
          <w:rFonts w:cs="Arial"/>
          <w:iCs/>
          <w:szCs w:val="24"/>
        </w:rPr>
        <w:t xml:space="preserve">These procedures also apply to the Council’s prudential indicators covering the maximum principal sums invested.  </w:t>
      </w:r>
    </w:p>
    <w:p w:rsidR="00DA2B16" w:rsidRPr="007F72D3" w:rsidRDefault="00DA2B16" w:rsidP="00DA2B16">
      <w:pPr>
        <w:spacing w:after="120"/>
        <w:ind w:left="561" w:hanging="561"/>
        <w:jc w:val="both"/>
        <w:rPr>
          <w:rFonts w:cs="Arial"/>
          <w:szCs w:val="24"/>
        </w:rPr>
      </w:pPr>
      <w:r w:rsidRPr="007F72D3">
        <w:rPr>
          <w:rFonts w:cs="Arial"/>
          <w:szCs w:val="24"/>
        </w:rPr>
        <w:t>7</w:t>
      </w:r>
      <w:r w:rsidR="00165E08">
        <w:rPr>
          <w:rFonts w:cs="Arial"/>
          <w:szCs w:val="24"/>
        </w:rPr>
        <w:t>2</w:t>
      </w:r>
      <w:r w:rsidRPr="007F72D3">
        <w:rPr>
          <w:rFonts w:cs="Arial"/>
          <w:i/>
          <w:szCs w:val="24"/>
        </w:rPr>
        <w:t>.</w:t>
      </w:r>
      <w:r w:rsidR="005F4E5C">
        <w:rPr>
          <w:rFonts w:cs="Arial"/>
          <w:i/>
          <w:szCs w:val="24"/>
        </w:rPr>
        <w:tab/>
      </w:r>
      <w:r w:rsidRPr="007F72D3">
        <w:rPr>
          <w:rFonts w:cs="Arial"/>
          <w:szCs w:val="24"/>
        </w:rPr>
        <w:t>The Director of Finance will maintain a counterparty list in compliance with the following criteria and will revise the criteria and submit them to Council for approval as necessary. These criteria are separate to those which determine which types of investment instrument are either specified or non-specified as they provide an overall pool of counterparties considered high quality which the Council may use, rather than defining what types of investm</w:t>
      </w:r>
      <w:r w:rsidR="005F4E5C">
        <w:rPr>
          <w:rFonts w:cs="Arial"/>
          <w:szCs w:val="24"/>
        </w:rPr>
        <w:t>ent instruments are to be used.</w:t>
      </w:r>
    </w:p>
    <w:p w:rsidR="00DA2B16" w:rsidRPr="007F72D3" w:rsidRDefault="00DA2B16" w:rsidP="00DA2B16">
      <w:pPr>
        <w:ind w:left="561" w:hanging="561"/>
        <w:jc w:val="both"/>
        <w:rPr>
          <w:rFonts w:cs="Arial"/>
          <w:iCs/>
          <w:szCs w:val="24"/>
        </w:rPr>
      </w:pPr>
      <w:r w:rsidRPr="007F72D3">
        <w:rPr>
          <w:iCs/>
          <w:szCs w:val="24"/>
        </w:rPr>
        <w:t>7</w:t>
      </w:r>
      <w:r w:rsidR="00165E08">
        <w:rPr>
          <w:iCs/>
          <w:szCs w:val="24"/>
        </w:rPr>
        <w:t>3</w:t>
      </w:r>
      <w:r w:rsidRPr="007F72D3">
        <w:rPr>
          <w:iCs/>
          <w:szCs w:val="24"/>
        </w:rPr>
        <w:t>.</w:t>
      </w:r>
      <w:r w:rsidR="005F4E5C">
        <w:rPr>
          <w:iCs/>
          <w:szCs w:val="24"/>
        </w:rPr>
        <w:tab/>
      </w:r>
      <w:r w:rsidRPr="007F72D3">
        <w:rPr>
          <w:rFonts w:cs="Arial"/>
          <w:iCs/>
          <w:szCs w:val="24"/>
        </w:rPr>
        <w:t xml:space="preserve">The minimum rating criteria uses the lowest common denominator method of selecting counterparties and applying limits. This means that the application of the Council’s minimum criteria will apply to the lowest available rating for any institution.  For instance, if an institution is rated by two agencies, one meets the Council’s criteria, the other does not, the institution will fall outside the lending criteria.  </w:t>
      </w:r>
    </w:p>
    <w:p w:rsidR="00DA2B16" w:rsidRPr="007F72D3" w:rsidRDefault="00DA2B16" w:rsidP="00DA2B16">
      <w:pPr>
        <w:ind w:left="561" w:hanging="561"/>
        <w:jc w:val="both"/>
        <w:rPr>
          <w:rFonts w:cs="Arial"/>
          <w:iCs/>
          <w:szCs w:val="24"/>
        </w:rPr>
      </w:pPr>
    </w:p>
    <w:p w:rsidR="00DA2B16" w:rsidRPr="007F72D3" w:rsidRDefault="00DA2B16" w:rsidP="00DA2B16">
      <w:pPr>
        <w:ind w:left="561" w:hanging="561"/>
        <w:jc w:val="both"/>
        <w:rPr>
          <w:rFonts w:cs="Arial"/>
          <w:iCs/>
          <w:szCs w:val="24"/>
        </w:rPr>
      </w:pPr>
      <w:r w:rsidRPr="007F72D3">
        <w:rPr>
          <w:rFonts w:cs="Arial"/>
          <w:iCs/>
          <w:szCs w:val="24"/>
        </w:rPr>
        <w:t>7</w:t>
      </w:r>
      <w:r w:rsidR="00165E08">
        <w:rPr>
          <w:rFonts w:cs="Arial"/>
          <w:iCs/>
          <w:szCs w:val="24"/>
        </w:rPr>
        <w:t>4</w:t>
      </w:r>
      <w:r w:rsidRPr="007F72D3">
        <w:rPr>
          <w:rFonts w:cs="Arial"/>
          <w:iCs/>
          <w:szCs w:val="24"/>
        </w:rPr>
        <w:t>.</w:t>
      </w:r>
      <w:r w:rsidR="005F4E5C">
        <w:rPr>
          <w:rFonts w:cs="Arial"/>
          <w:iCs/>
          <w:szCs w:val="24"/>
        </w:rPr>
        <w:tab/>
      </w:r>
      <w:r w:rsidRPr="007F72D3">
        <w:rPr>
          <w:rFonts w:cs="Arial"/>
          <w:iCs/>
          <w:szCs w:val="24"/>
        </w:rPr>
        <w:t xml:space="preserve">Credit rating information is supplied by the Treasury Management Adviser on all active counterparties that comply with the criteria below. Any counterparty failing to meet the criteria would be omitted from the counterparty list. Any rating changes, rating watches (notification of a likely change), rating outlooks (notification of a possible longer term change) are provided to officers almost immediately after they occur and this information is considered before dealing. For instance, a negative rating watch applying to a counterparty at the minimum Council criteria will be suspended from use, with all others being reviewed in light of market conditions. </w:t>
      </w:r>
    </w:p>
    <w:p w:rsidR="00DA2B16" w:rsidRPr="007F72D3" w:rsidRDefault="00DA2B16" w:rsidP="00DA2B16">
      <w:pPr>
        <w:ind w:left="561" w:hanging="561"/>
        <w:jc w:val="both"/>
        <w:rPr>
          <w:rFonts w:cs="Arial"/>
          <w:iCs/>
          <w:szCs w:val="24"/>
        </w:rPr>
      </w:pPr>
    </w:p>
    <w:p w:rsidR="00DA2B16" w:rsidRPr="00DA2B16" w:rsidRDefault="008C25BC" w:rsidP="00DA2B16">
      <w:pPr>
        <w:ind w:left="561" w:hanging="561"/>
        <w:jc w:val="both"/>
        <w:rPr>
          <w:rFonts w:cs="Arial"/>
          <w:iCs/>
          <w:szCs w:val="24"/>
        </w:rPr>
      </w:pPr>
      <w:r>
        <w:rPr>
          <w:rFonts w:cs="Arial"/>
          <w:iCs/>
          <w:szCs w:val="24"/>
        </w:rPr>
        <w:t>7</w:t>
      </w:r>
      <w:r w:rsidR="00165E08">
        <w:rPr>
          <w:rFonts w:cs="Arial"/>
          <w:iCs/>
          <w:szCs w:val="24"/>
        </w:rPr>
        <w:t>5</w:t>
      </w:r>
      <w:r w:rsidR="00DA2B16" w:rsidRPr="007F72D3">
        <w:rPr>
          <w:rFonts w:cs="Arial"/>
          <w:iCs/>
          <w:szCs w:val="24"/>
        </w:rPr>
        <w:t>.</w:t>
      </w:r>
      <w:r w:rsidR="005F4E5C">
        <w:rPr>
          <w:rFonts w:cs="Arial"/>
          <w:iCs/>
          <w:szCs w:val="24"/>
        </w:rPr>
        <w:tab/>
      </w:r>
      <w:r w:rsidR="00DA2B16" w:rsidRPr="007F72D3">
        <w:rPr>
          <w:rFonts w:cs="Arial"/>
          <w:iCs/>
          <w:szCs w:val="24"/>
        </w:rPr>
        <w:t>The Council’s criteria for an institution to become a counterparty are</w:t>
      </w:r>
      <w:r w:rsidR="007F72D3" w:rsidRPr="007F72D3">
        <w:rPr>
          <w:rFonts w:cs="Arial"/>
          <w:iCs/>
          <w:szCs w:val="24"/>
        </w:rPr>
        <w:t xml:space="preserve"> detailed in </w:t>
      </w:r>
      <w:r w:rsidR="007F72D3" w:rsidRPr="00152F17">
        <w:rPr>
          <w:rFonts w:cs="Arial"/>
          <w:iCs/>
          <w:szCs w:val="24"/>
        </w:rPr>
        <w:t xml:space="preserve">Appendix </w:t>
      </w:r>
      <w:r w:rsidR="002E6E7C">
        <w:rPr>
          <w:rFonts w:cs="Arial"/>
          <w:iCs/>
          <w:szCs w:val="24"/>
        </w:rPr>
        <w:t>F</w:t>
      </w:r>
      <w:r w:rsidR="007F72D3" w:rsidRPr="00152F17">
        <w:rPr>
          <w:rFonts w:cs="Arial"/>
          <w:iCs/>
          <w:szCs w:val="24"/>
        </w:rPr>
        <w:t>.</w:t>
      </w:r>
    </w:p>
    <w:p w:rsidR="007E32F7" w:rsidRDefault="007E32F7" w:rsidP="00DA2B16">
      <w:pPr>
        <w:spacing w:before="270" w:after="180"/>
        <w:jc w:val="both"/>
        <w:rPr>
          <w:rFonts w:cs="Arial"/>
          <w:b/>
          <w:noProof/>
          <w:sz w:val="28"/>
          <w:szCs w:val="28"/>
        </w:rPr>
      </w:pPr>
    </w:p>
    <w:p w:rsidR="00DA2B16" w:rsidRPr="007F72D3" w:rsidRDefault="007F72D3" w:rsidP="00DA2B16">
      <w:pPr>
        <w:spacing w:before="270" w:after="180"/>
        <w:jc w:val="both"/>
        <w:rPr>
          <w:rFonts w:cs="Arial"/>
          <w:b/>
          <w:noProof/>
          <w:sz w:val="22"/>
          <w:szCs w:val="22"/>
        </w:rPr>
      </w:pPr>
      <w:r w:rsidRPr="007F72D3">
        <w:rPr>
          <w:rFonts w:cs="Arial"/>
          <w:b/>
          <w:noProof/>
          <w:sz w:val="28"/>
          <w:szCs w:val="28"/>
        </w:rPr>
        <w:lastRenderedPageBreak/>
        <w:t>4.3</w:t>
      </w:r>
      <w:r w:rsidR="005F4E5C">
        <w:rPr>
          <w:rFonts w:cs="Arial"/>
          <w:b/>
          <w:noProof/>
          <w:sz w:val="28"/>
          <w:szCs w:val="28"/>
        </w:rPr>
        <w:t xml:space="preserve"> </w:t>
      </w:r>
      <w:r w:rsidR="00DA2B16" w:rsidRPr="007F72D3">
        <w:rPr>
          <w:rFonts w:cs="Arial"/>
          <w:b/>
          <w:noProof/>
          <w:sz w:val="28"/>
          <w:szCs w:val="28"/>
        </w:rPr>
        <w:t xml:space="preserve">Country </w:t>
      </w:r>
      <w:r w:rsidR="00396231" w:rsidRPr="007F72D3">
        <w:rPr>
          <w:rFonts w:cs="Arial"/>
          <w:b/>
          <w:noProof/>
          <w:sz w:val="28"/>
          <w:szCs w:val="28"/>
        </w:rPr>
        <w:t>L</w:t>
      </w:r>
      <w:r w:rsidR="00DA2B16" w:rsidRPr="007F72D3">
        <w:rPr>
          <w:rFonts w:cs="Arial"/>
          <w:b/>
          <w:noProof/>
          <w:sz w:val="28"/>
          <w:szCs w:val="28"/>
        </w:rPr>
        <w:t>imits</w:t>
      </w:r>
    </w:p>
    <w:p w:rsidR="00DA2B16" w:rsidRPr="00DA2B16" w:rsidRDefault="008C25BC" w:rsidP="005F4E5C">
      <w:pPr>
        <w:tabs>
          <w:tab w:val="left" w:pos="567"/>
        </w:tabs>
        <w:spacing w:before="45" w:after="180"/>
        <w:ind w:left="561" w:hanging="561"/>
        <w:jc w:val="both"/>
        <w:rPr>
          <w:rFonts w:cs="Arial"/>
          <w:noProof/>
          <w:szCs w:val="24"/>
        </w:rPr>
      </w:pPr>
      <w:r>
        <w:rPr>
          <w:rFonts w:cs="Arial"/>
          <w:noProof/>
          <w:szCs w:val="24"/>
        </w:rPr>
        <w:t>7</w:t>
      </w:r>
      <w:r w:rsidR="00165E08">
        <w:rPr>
          <w:rFonts w:cs="Arial"/>
          <w:noProof/>
          <w:szCs w:val="24"/>
        </w:rPr>
        <w:t>6</w:t>
      </w:r>
      <w:r w:rsidR="00DA2B16" w:rsidRPr="007F72D3">
        <w:rPr>
          <w:rFonts w:cs="Arial"/>
          <w:noProof/>
          <w:szCs w:val="24"/>
        </w:rPr>
        <w:t>.</w:t>
      </w:r>
      <w:r w:rsidR="005F4E5C">
        <w:rPr>
          <w:rFonts w:cs="Arial"/>
          <w:noProof/>
          <w:szCs w:val="24"/>
        </w:rPr>
        <w:tab/>
      </w:r>
      <w:r w:rsidR="00DA2B16" w:rsidRPr="007F72D3">
        <w:rPr>
          <w:rFonts w:cs="Arial"/>
          <w:noProof/>
          <w:szCs w:val="24"/>
        </w:rPr>
        <w:t xml:space="preserve">The Council has determined that it will only use approved counterparties from the UK or from countries with a minimum sovereign credit rating of AAA. Currently the only countries meeting this criterion are Australia, Canada, Denmark, Germany, </w:t>
      </w:r>
      <w:r w:rsidR="00867975" w:rsidRPr="007F72D3">
        <w:rPr>
          <w:rFonts w:cs="Arial"/>
          <w:noProof/>
          <w:szCs w:val="24"/>
        </w:rPr>
        <w:t xml:space="preserve">Luxembourg, </w:t>
      </w:r>
      <w:r w:rsidR="00210AF0" w:rsidRPr="007F72D3">
        <w:rPr>
          <w:rFonts w:cs="Arial"/>
          <w:noProof/>
          <w:szCs w:val="24"/>
        </w:rPr>
        <w:t xml:space="preserve">Netherlands, </w:t>
      </w:r>
      <w:r w:rsidR="00867975" w:rsidRPr="007F72D3">
        <w:rPr>
          <w:rFonts w:cs="Arial"/>
          <w:noProof/>
          <w:szCs w:val="24"/>
        </w:rPr>
        <w:t xml:space="preserve">Norway, </w:t>
      </w:r>
      <w:r w:rsidR="00DA2B16" w:rsidRPr="007F72D3">
        <w:rPr>
          <w:rFonts w:cs="Arial"/>
          <w:noProof/>
          <w:szCs w:val="24"/>
        </w:rPr>
        <w:t xml:space="preserve">Singapore, Sweden and Switzerland. The current UK rating is the </w:t>
      </w:r>
      <w:r w:rsidR="00210AF0" w:rsidRPr="007F72D3">
        <w:rPr>
          <w:rFonts w:cs="Arial"/>
          <w:noProof/>
          <w:szCs w:val="24"/>
        </w:rPr>
        <w:t>third</w:t>
      </w:r>
      <w:r w:rsidR="00DA2B16" w:rsidRPr="007F72D3">
        <w:rPr>
          <w:rFonts w:cs="Arial"/>
          <w:noProof/>
          <w:szCs w:val="24"/>
        </w:rPr>
        <w:t xml:space="preserve"> level of AA. This list will be added to, or deducted from, by officers should ratings change in accordance with this policy.</w:t>
      </w:r>
    </w:p>
    <w:p w:rsidR="00DA2B16" w:rsidRPr="00A017F5" w:rsidRDefault="00A017F5" w:rsidP="00DA2B16">
      <w:pPr>
        <w:spacing w:before="270" w:after="180"/>
        <w:ind w:left="360" w:hanging="360"/>
        <w:jc w:val="both"/>
        <w:rPr>
          <w:rFonts w:cs="Arial"/>
          <w:b/>
          <w:noProof/>
          <w:sz w:val="28"/>
          <w:szCs w:val="28"/>
        </w:rPr>
      </w:pPr>
      <w:bookmarkStart w:id="11" w:name="_Toc339459965"/>
      <w:r w:rsidRPr="00A017F5">
        <w:rPr>
          <w:rFonts w:cs="Arial"/>
          <w:b/>
          <w:noProof/>
          <w:sz w:val="28"/>
          <w:szCs w:val="28"/>
        </w:rPr>
        <w:t>4.4</w:t>
      </w:r>
      <w:r w:rsidR="005F4E5C">
        <w:rPr>
          <w:rFonts w:cs="Arial"/>
          <w:b/>
          <w:noProof/>
          <w:sz w:val="28"/>
          <w:szCs w:val="28"/>
        </w:rPr>
        <w:t xml:space="preserve"> </w:t>
      </w:r>
      <w:r w:rsidRPr="00A017F5">
        <w:rPr>
          <w:rFonts w:cs="Arial"/>
          <w:b/>
          <w:noProof/>
          <w:sz w:val="28"/>
          <w:szCs w:val="28"/>
        </w:rPr>
        <w:t>Annual</w:t>
      </w:r>
      <w:r w:rsidR="00DA2B16" w:rsidRPr="00A017F5">
        <w:rPr>
          <w:rFonts w:cs="Arial"/>
          <w:b/>
          <w:noProof/>
          <w:sz w:val="28"/>
          <w:szCs w:val="28"/>
        </w:rPr>
        <w:t xml:space="preserve"> Investment </w:t>
      </w:r>
      <w:r w:rsidR="00396231" w:rsidRPr="00A017F5">
        <w:rPr>
          <w:rFonts w:cs="Arial"/>
          <w:b/>
          <w:noProof/>
          <w:sz w:val="28"/>
          <w:szCs w:val="28"/>
        </w:rPr>
        <w:t>S</w:t>
      </w:r>
      <w:r w:rsidR="00DA2B16" w:rsidRPr="00A017F5">
        <w:rPr>
          <w:rFonts w:cs="Arial"/>
          <w:b/>
          <w:noProof/>
          <w:sz w:val="28"/>
          <w:szCs w:val="28"/>
        </w:rPr>
        <w:t>trategy</w:t>
      </w:r>
      <w:bookmarkEnd w:id="11"/>
    </w:p>
    <w:p w:rsidR="00DA2B16" w:rsidRPr="00A017F5" w:rsidRDefault="008C25BC" w:rsidP="00DA2B16">
      <w:pPr>
        <w:ind w:left="561" w:hanging="561"/>
        <w:jc w:val="both"/>
        <w:rPr>
          <w:rFonts w:cs="Arial"/>
          <w:bCs/>
          <w:noProof/>
          <w:szCs w:val="24"/>
        </w:rPr>
      </w:pPr>
      <w:r>
        <w:rPr>
          <w:rFonts w:cs="Arial"/>
          <w:bCs/>
          <w:noProof/>
          <w:szCs w:val="24"/>
        </w:rPr>
        <w:t>7</w:t>
      </w:r>
      <w:r w:rsidR="00165E08">
        <w:rPr>
          <w:rFonts w:cs="Arial"/>
          <w:bCs/>
          <w:noProof/>
          <w:szCs w:val="24"/>
        </w:rPr>
        <w:t>7</w:t>
      </w:r>
      <w:r w:rsidR="00DA2B16" w:rsidRPr="00A017F5">
        <w:rPr>
          <w:rFonts w:cs="Arial"/>
          <w:b/>
          <w:bCs/>
          <w:noProof/>
          <w:szCs w:val="24"/>
        </w:rPr>
        <w:t>.</w:t>
      </w:r>
      <w:r w:rsidR="005F4E5C">
        <w:rPr>
          <w:rFonts w:cs="Arial"/>
          <w:b/>
          <w:bCs/>
          <w:noProof/>
          <w:szCs w:val="24"/>
        </w:rPr>
        <w:tab/>
      </w:r>
      <w:r w:rsidR="00DA2B16" w:rsidRPr="00A017F5">
        <w:rPr>
          <w:rFonts w:cs="Arial"/>
          <w:b/>
          <w:bCs/>
          <w:noProof/>
          <w:szCs w:val="24"/>
        </w:rPr>
        <w:t>In-house funds.</w:t>
      </w:r>
      <w:r w:rsidR="00DA2B16" w:rsidRPr="00A017F5">
        <w:rPr>
          <w:rFonts w:cs="Arial"/>
          <w:bCs/>
          <w:i/>
          <w:noProof/>
          <w:sz w:val="22"/>
          <w:szCs w:val="22"/>
        </w:rPr>
        <w:t xml:space="preserve"> </w:t>
      </w:r>
      <w:r w:rsidR="00DA2B16" w:rsidRPr="00A017F5">
        <w:rPr>
          <w:rFonts w:cs="Arial"/>
          <w:bCs/>
          <w:szCs w:val="24"/>
        </w:rPr>
        <w:t>The Council’s funds are mainly cash derived primarily from the General Fund and HRA. Balances are also held to support capital expenditure.  From 1</w:t>
      </w:r>
      <w:r w:rsidR="00DA2B16" w:rsidRPr="00A017F5">
        <w:rPr>
          <w:rFonts w:cs="Arial"/>
          <w:bCs/>
          <w:szCs w:val="24"/>
          <w:vertAlign w:val="superscript"/>
        </w:rPr>
        <w:t>st</w:t>
      </w:r>
      <w:r w:rsidR="00DA2B16" w:rsidRPr="00A017F5">
        <w:rPr>
          <w:rFonts w:cs="Arial"/>
          <w:bCs/>
          <w:szCs w:val="24"/>
        </w:rPr>
        <w:t xml:space="preserve"> April 2011, pension fund cash balances have been held separately from those of the Council. However, a separate investment strategy has not been developed for the pension fund and all its cash is held on overnight call account with RBS.</w:t>
      </w:r>
      <w:r w:rsidR="00DA2B16" w:rsidRPr="00A017F5">
        <w:rPr>
          <w:rFonts w:cs="Arial"/>
          <w:bCs/>
          <w:noProof/>
          <w:szCs w:val="24"/>
        </w:rPr>
        <w:t xml:space="preserve">        Investments are made with reference to the core balance and cash flow requirements and the outlook for short-term interest rates (i.e. rates for investments up to 12 months).</w:t>
      </w:r>
    </w:p>
    <w:p w:rsidR="00DA2B16" w:rsidRPr="00A017F5" w:rsidRDefault="00DA2B16" w:rsidP="00DA2B16">
      <w:pPr>
        <w:tabs>
          <w:tab w:val="left" w:pos="360"/>
        </w:tabs>
        <w:ind w:left="561" w:hanging="561"/>
        <w:jc w:val="both"/>
        <w:rPr>
          <w:rFonts w:cs="Arial"/>
          <w:noProof/>
          <w:color w:val="0D0D0D"/>
          <w:szCs w:val="24"/>
        </w:rPr>
      </w:pPr>
    </w:p>
    <w:p w:rsidR="00642721" w:rsidRDefault="00165E08" w:rsidP="00CB4A66">
      <w:pPr>
        <w:tabs>
          <w:tab w:val="left" w:pos="360"/>
        </w:tabs>
        <w:ind w:left="561" w:hanging="561"/>
        <w:jc w:val="both"/>
        <w:rPr>
          <w:rFonts w:cs="Arial"/>
          <w:noProof/>
          <w:color w:val="0D0D0D"/>
          <w:szCs w:val="24"/>
        </w:rPr>
      </w:pPr>
      <w:r>
        <w:rPr>
          <w:rFonts w:cs="Arial"/>
          <w:noProof/>
          <w:color w:val="0D0D0D"/>
          <w:szCs w:val="24"/>
        </w:rPr>
        <w:t>78</w:t>
      </w:r>
      <w:r w:rsidR="00DA2B16" w:rsidRPr="001D7DC7">
        <w:rPr>
          <w:rFonts w:cs="Arial"/>
          <w:noProof/>
          <w:color w:val="0D0D0D"/>
          <w:szCs w:val="24"/>
        </w:rPr>
        <w:t>.</w:t>
      </w:r>
      <w:r w:rsidR="005F4E5C">
        <w:rPr>
          <w:rFonts w:cs="Arial"/>
          <w:b/>
          <w:noProof/>
          <w:color w:val="0D0D0D"/>
          <w:szCs w:val="24"/>
        </w:rPr>
        <w:tab/>
      </w:r>
      <w:r w:rsidR="005F4E5C">
        <w:rPr>
          <w:rFonts w:cs="Arial"/>
          <w:b/>
          <w:noProof/>
          <w:color w:val="0D0D0D"/>
          <w:szCs w:val="24"/>
        </w:rPr>
        <w:tab/>
      </w:r>
      <w:r w:rsidR="00DA2B16" w:rsidRPr="00CB4A66">
        <w:rPr>
          <w:rFonts w:cs="Arial"/>
          <w:b/>
          <w:noProof/>
          <w:color w:val="0D0D0D"/>
          <w:szCs w:val="24"/>
        </w:rPr>
        <w:t>Investment returns expectations.</w:t>
      </w:r>
      <w:r w:rsidR="00DA2B16" w:rsidRPr="00CB4A66">
        <w:rPr>
          <w:rFonts w:cs="Arial"/>
          <w:noProof/>
          <w:color w:val="0D0D0D"/>
          <w:sz w:val="22"/>
          <w:szCs w:val="22"/>
        </w:rPr>
        <w:t xml:space="preserve">  </w:t>
      </w:r>
      <w:r w:rsidR="00DA2B16" w:rsidRPr="00CB4A66">
        <w:rPr>
          <w:szCs w:val="24"/>
        </w:rPr>
        <w:t xml:space="preserve">Bank Rate </w:t>
      </w:r>
      <w:r w:rsidR="007B6E0F" w:rsidRPr="00CB4A66">
        <w:rPr>
          <w:szCs w:val="24"/>
        </w:rPr>
        <w:t xml:space="preserve">is forecast </w:t>
      </w:r>
      <w:r w:rsidR="00AC702D" w:rsidRPr="00CB4A66">
        <w:rPr>
          <w:szCs w:val="24"/>
        </w:rPr>
        <w:t xml:space="preserve">by </w:t>
      </w:r>
      <w:r w:rsidR="00631435" w:rsidRPr="00CB4A66">
        <w:rPr>
          <w:szCs w:val="24"/>
        </w:rPr>
        <w:t xml:space="preserve">Link Asset Services </w:t>
      </w:r>
      <w:r w:rsidR="007B6E0F" w:rsidRPr="00CB4A66">
        <w:rPr>
          <w:szCs w:val="24"/>
        </w:rPr>
        <w:t>to stay flat at</w:t>
      </w:r>
      <w:r w:rsidR="00DA2B16" w:rsidRPr="00CB4A66">
        <w:rPr>
          <w:szCs w:val="24"/>
        </w:rPr>
        <w:t xml:space="preserve"> 0.</w:t>
      </w:r>
      <w:r w:rsidR="00555AEE">
        <w:rPr>
          <w:szCs w:val="24"/>
        </w:rPr>
        <w:t>50</w:t>
      </w:r>
      <w:r w:rsidR="00DA2B16" w:rsidRPr="00CB4A66">
        <w:rPr>
          <w:szCs w:val="24"/>
        </w:rPr>
        <w:t>%</w:t>
      </w:r>
      <w:r w:rsidR="007B6E0F" w:rsidRPr="00CB4A66">
        <w:rPr>
          <w:szCs w:val="24"/>
        </w:rPr>
        <w:t xml:space="preserve"> until quarter </w:t>
      </w:r>
      <w:r w:rsidR="00C036C1">
        <w:rPr>
          <w:szCs w:val="24"/>
        </w:rPr>
        <w:t>4</w:t>
      </w:r>
      <w:r w:rsidR="00C036C1" w:rsidRPr="00CB4A66">
        <w:rPr>
          <w:szCs w:val="24"/>
        </w:rPr>
        <w:t xml:space="preserve"> </w:t>
      </w:r>
      <w:r w:rsidR="007B6E0F" w:rsidRPr="00CB4A66">
        <w:rPr>
          <w:szCs w:val="24"/>
        </w:rPr>
        <w:t>201</w:t>
      </w:r>
      <w:r w:rsidR="00C036C1">
        <w:rPr>
          <w:szCs w:val="24"/>
        </w:rPr>
        <w:t>8</w:t>
      </w:r>
      <w:r w:rsidR="007B6E0F" w:rsidRPr="00CB4A66">
        <w:rPr>
          <w:szCs w:val="24"/>
        </w:rPr>
        <w:t xml:space="preserve"> and not to rise above </w:t>
      </w:r>
      <w:r w:rsidR="00C036C1">
        <w:rPr>
          <w:szCs w:val="24"/>
        </w:rPr>
        <w:t>1</w:t>
      </w:r>
      <w:r w:rsidR="007B6E0F" w:rsidRPr="00CB4A66">
        <w:rPr>
          <w:szCs w:val="24"/>
        </w:rPr>
        <w:t>.</w:t>
      </w:r>
      <w:r w:rsidR="00C036C1">
        <w:rPr>
          <w:szCs w:val="24"/>
        </w:rPr>
        <w:t>2</w:t>
      </w:r>
      <w:r w:rsidR="007B6E0F" w:rsidRPr="00CB4A66">
        <w:rPr>
          <w:szCs w:val="24"/>
        </w:rPr>
        <w:t xml:space="preserve">5% by quarter 1 </w:t>
      </w:r>
      <w:r w:rsidR="00C036C1" w:rsidRPr="00CB4A66">
        <w:rPr>
          <w:szCs w:val="24"/>
        </w:rPr>
        <w:t>202</w:t>
      </w:r>
      <w:r w:rsidR="00C036C1">
        <w:rPr>
          <w:szCs w:val="24"/>
        </w:rPr>
        <w:t>1</w:t>
      </w:r>
      <w:r w:rsidR="00DA2B16" w:rsidRPr="00CB4A66">
        <w:rPr>
          <w:rFonts w:cs="Arial"/>
          <w:noProof/>
          <w:color w:val="0D0D0D"/>
          <w:szCs w:val="24"/>
          <w:lang w:eastAsia="en-GB"/>
        </w:rPr>
        <w:t xml:space="preserve">. </w:t>
      </w:r>
      <w:r w:rsidR="006F7300" w:rsidRPr="00CB4A66">
        <w:rPr>
          <w:rFonts w:cs="Arial"/>
          <w:noProof/>
          <w:color w:val="0D0D0D"/>
          <w:szCs w:val="24"/>
          <w:lang w:eastAsia="en-GB"/>
        </w:rPr>
        <w:t>Bank rate f</w:t>
      </w:r>
      <w:r w:rsidR="00DA2B16" w:rsidRPr="00CB4A66">
        <w:rPr>
          <w:rFonts w:cs="Arial"/>
          <w:noProof/>
          <w:color w:val="0D0D0D"/>
          <w:szCs w:val="24"/>
        </w:rPr>
        <w:t xml:space="preserve">orecasts for financial year ends are: </w:t>
      </w:r>
    </w:p>
    <w:p w:rsidR="00642721" w:rsidRPr="00642721" w:rsidRDefault="00642721" w:rsidP="00642721">
      <w:pPr>
        <w:tabs>
          <w:tab w:val="left" w:pos="360"/>
        </w:tabs>
        <w:jc w:val="both"/>
        <w:rPr>
          <w:rFonts w:cs="Arial"/>
          <w:color w:val="0D0D0D"/>
          <w:sz w:val="22"/>
          <w:szCs w:val="22"/>
        </w:rPr>
      </w:pPr>
    </w:p>
    <w:p w:rsidR="00642721" w:rsidRPr="00642721" w:rsidRDefault="00642721" w:rsidP="00642721">
      <w:pPr>
        <w:numPr>
          <w:ilvl w:val="0"/>
          <w:numId w:val="22"/>
        </w:numPr>
        <w:spacing w:before="45" w:after="45"/>
        <w:jc w:val="both"/>
        <w:rPr>
          <w:rFonts w:cs="Arial"/>
          <w:color w:val="0D0D0D"/>
          <w:sz w:val="22"/>
          <w:szCs w:val="22"/>
        </w:rPr>
      </w:pPr>
      <w:r w:rsidRPr="00642721">
        <w:rPr>
          <w:rFonts w:cs="Arial"/>
          <w:color w:val="0D0D0D"/>
          <w:sz w:val="22"/>
          <w:szCs w:val="22"/>
        </w:rPr>
        <w:t xml:space="preserve">2017/18  0.50%  </w:t>
      </w:r>
    </w:p>
    <w:p w:rsidR="00642721" w:rsidRPr="00642721" w:rsidRDefault="00642721" w:rsidP="00642721">
      <w:pPr>
        <w:numPr>
          <w:ilvl w:val="0"/>
          <w:numId w:val="22"/>
        </w:numPr>
        <w:spacing w:before="45" w:after="45"/>
        <w:jc w:val="both"/>
        <w:rPr>
          <w:rFonts w:cs="Arial"/>
          <w:color w:val="0D0D0D"/>
          <w:sz w:val="22"/>
          <w:szCs w:val="22"/>
        </w:rPr>
      </w:pPr>
      <w:r w:rsidRPr="00642721">
        <w:rPr>
          <w:rFonts w:cs="Arial"/>
          <w:color w:val="0D0D0D"/>
          <w:sz w:val="22"/>
          <w:szCs w:val="22"/>
        </w:rPr>
        <w:t>2018/19  0.75%</w:t>
      </w:r>
    </w:p>
    <w:p w:rsidR="00642721" w:rsidRPr="00642721" w:rsidRDefault="00642721" w:rsidP="00642721">
      <w:pPr>
        <w:numPr>
          <w:ilvl w:val="0"/>
          <w:numId w:val="22"/>
        </w:numPr>
        <w:spacing w:before="45" w:after="45"/>
        <w:jc w:val="both"/>
        <w:rPr>
          <w:rFonts w:cs="Arial"/>
          <w:color w:val="0D0D0D"/>
          <w:sz w:val="22"/>
          <w:szCs w:val="22"/>
        </w:rPr>
      </w:pPr>
      <w:r w:rsidRPr="00642721">
        <w:rPr>
          <w:rFonts w:cs="Arial"/>
          <w:color w:val="0D0D0D"/>
          <w:sz w:val="22"/>
          <w:szCs w:val="22"/>
        </w:rPr>
        <w:t>2019/20  1.00%</w:t>
      </w:r>
    </w:p>
    <w:p w:rsidR="00642721" w:rsidRPr="00642721" w:rsidRDefault="00642721" w:rsidP="00642721">
      <w:pPr>
        <w:numPr>
          <w:ilvl w:val="0"/>
          <w:numId w:val="22"/>
        </w:numPr>
        <w:spacing w:before="45" w:after="45"/>
        <w:jc w:val="both"/>
        <w:rPr>
          <w:rFonts w:cs="Arial"/>
          <w:color w:val="0D0D0D"/>
          <w:sz w:val="22"/>
          <w:szCs w:val="22"/>
        </w:rPr>
      </w:pPr>
      <w:r w:rsidRPr="00642721">
        <w:rPr>
          <w:rFonts w:cs="Arial"/>
          <w:color w:val="0D0D0D"/>
          <w:sz w:val="22"/>
          <w:szCs w:val="22"/>
        </w:rPr>
        <w:t xml:space="preserve">2020/21  1.25%   </w:t>
      </w:r>
    </w:p>
    <w:p w:rsidR="006F7300" w:rsidRPr="00A017F5" w:rsidRDefault="006F7300" w:rsidP="006F7300">
      <w:pPr>
        <w:spacing w:before="45" w:after="45"/>
        <w:jc w:val="both"/>
        <w:rPr>
          <w:rFonts w:cs="Arial"/>
          <w:noProof/>
          <w:color w:val="0D0D0D"/>
          <w:szCs w:val="24"/>
        </w:rPr>
      </w:pPr>
    </w:p>
    <w:p w:rsidR="00AC702D" w:rsidRPr="00E24E6F" w:rsidRDefault="00165E08" w:rsidP="00152F17">
      <w:pPr>
        <w:spacing w:before="45" w:after="45"/>
        <w:ind w:left="567" w:hanging="567"/>
        <w:jc w:val="both"/>
        <w:rPr>
          <w:rFonts w:cs="Arial"/>
          <w:noProof/>
          <w:color w:val="0D0D0D"/>
          <w:szCs w:val="24"/>
        </w:rPr>
      </w:pPr>
      <w:r>
        <w:rPr>
          <w:rFonts w:cs="Arial"/>
          <w:noProof/>
          <w:color w:val="0D0D0D"/>
          <w:szCs w:val="24"/>
        </w:rPr>
        <w:t>79</w:t>
      </w:r>
      <w:r w:rsidR="00AC702D" w:rsidRPr="00A017F5">
        <w:rPr>
          <w:rFonts w:cs="Arial"/>
          <w:noProof/>
          <w:color w:val="0D0D0D"/>
          <w:szCs w:val="24"/>
        </w:rPr>
        <w:t>.</w:t>
      </w:r>
      <w:r w:rsidR="005F4E5C">
        <w:rPr>
          <w:rFonts w:cs="Arial"/>
          <w:noProof/>
          <w:color w:val="0D0D0D"/>
          <w:szCs w:val="24"/>
        </w:rPr>
        <w:tab/>
      </w:r>
      <w:r w:rsidR="00631435" w:rsidRPr="00E24E6F">
        <w:rPr>
          <w:rFonts w:cs="Arial"/>
          <w:noProof/>
          <w:color w:val="0D0D0D"/>
          <w:szCs w:val="24"/>
        </w:rPr>
        <w:t>Link Asset Services</w:t>
      </w:r>
      <w:r w:rsidR="00AC702D" w:rsidRPr="00E24E6F">
        <w:rPr>
          <w:rFonts w:cs="Arial"/>
          <w:noProof/>
          <w:color w:val="0D0D0D"/>
          <w:szCs w:val="24"/>
        </w:rPr>
        <w:t xml:space="preserve"> suggest that budgeted investment earnings rates for returns on investments placed for periods of up to 100 days during each financial year are as follows:</w:t>
      </w:r>
    </w:p>
    <w:p w:rsidR="00642721" w:rsidRPr="003E2033" w:rsidDel="00642721" w:rsidRDefault="00AC702D" w:rsidP="00642721">
      <w:pPr>
        <w:spacing w:before="45" w:after="45"/>
        <w:jc w:val="both"/>
        <w:rPr>
          <w:rFonts w:cs="Arial"/>
          <w:noProof/>
          <w:color w:val="0D0D0D"/>
          <w:szCs w:val="24"/>
          <w:highlight w:val="yellow"/>
        </w:rPr>
      </w:pPr>
      <w:r w:rsidRPr="003E2033">
        <w:rPr>
          <w:rFonts w:cs="Arial"/>
          <w:noProof/>
          <w:color w:val="0D0D0D"/>
          <w:szCs w:val="24"/>
          <w:highlight w:val="yellow"/>
        </w:rPr>
        <w:t xml:space="preserve">            </w:t>
      </w:r>
    </w:p>
    <w:tbl>
      <w:tblPr>
        <w:tblW w:w="8970" w:type="dxa"/>
        <w:tblBorders>
          <w:top w:val="nil"/>
          <w:left w:val="nil"/>
          <w:bottom w:val="nil"/>
          <w:right w:val="nil"/>
        </w:tblBorders>
        <w:tblLayout w:type="fixed"/>
        <w:tblLook w:val="0000" w:firstRow="0" w:lastRow="0" w:firstColumn="0" w:lastColumn="0" w:noHBand="0" w:noVBand="0"/>
      </w:tblPr>
      <w:tblGrid>
        <w:gridCol w:w="4485"/>
        <w:gridCol w:w="4485"/>
      </w:tblGrid>
      <w:tr w:rsidR="00642721" w:rsidTr="00FF5CC0">
        <w:trPr>
          <w:trHeight w:val="103"/>
        </w:trPr>
        <w:tc>
          <w:tcPr>
            <w:tcW w:w="2990" w:type="dxa"/>
          </w:tcPr>
          <w:p w:rsidR="00642721" w:rsidRDefault="00642721" w:rsidP="00E24E6F">
            <w:pPr>
              <w:pStyle w:val="Default"/>
              <w:ind w:left="567"/>
              <w:rPr>
                <w:sz w:val="22"/>
                <w:szCs w:val="22"/>
              </w:rPr>
            </w:pPr>
            <w:r>
              <w:rPr>
                <w:sz w:val="22"/>
                <w:szCs w:val="22"/>
              </w:rPr>
              <w:t xml:space="preserve">2017/18 </w:t>
            </w:r>
          </w:p>
        </w:tc>
        <w:tc>
          <w:tcPr>
            <w:tcW w:w="2990" w:type="dxa"/>
          </w:tcPr>
          <w:p w:rsidR="00642721" w:rsidRDefault="00642721" w:rsidP="00E24E6F">
            <w:pPr>
              <w:pStyle w:val="Default"/>
              <w:ind w:left="567"/>
              <w:rPr>
                <w:sz w:val="22"/>
                <w:szCs w:val="22"/>
              </w:rPr>
            </w:pPr>
            <w:r>
              <w:rPr>
                <w:sz w:val="22"/>
                <w:szCs w:val="22"/>
              </w:rPr>
              <w:t xml:space="preserve">0.40% </w:t>
            </w:r>
          </w:p>
        </w:tc>
      </w:tr>
      <w:tr w:rsidR="00642721" w:rsidTr="00FF5CC0">
        <w:trPr>
          <w:trHeight w:val="103"/>
        </w:trPr>
        <w:tc>
          <w:tcPr>
            <w:tcW w:w="2990" w:type="dxa"/>
          </w:tcPr>
          <w:p w:rsidR="00642721" w:rsidRDefault="00642721" w:rsidP="00E24E6F">
            <w:pPr>
              <w:pStyle w:val="Default"/>
              <w:ind w:left="567"/>
              <w:rPr>
                <w:sz w:val="22"/>
                <w:szCs w:val="22"/>
              </w:rPr>
            </w:pPr>
            <w:r>
              <w:rPr>
                <w:sz w:val="22"/>
                <w:szCs w:val="22"/>
              </w:rPr>
              <w:t xml:space="preserve">2018/19 </w:t>
            </w:r>
          </w:p>
        </w:tc>
        <w:tc>
          <w:tcPr>
            <w:tcW w:w="2990" w:type="dxa"/>
          </w:tcPr>
          <w:p w:rsidR="00642721" w:rsidRDefault="00642721" w:rsidP="00E24E6F">
            <w:pPr>
              <w:pStyle w:val="Default"/>
              <w:ind w:left="567"/>
              <w:rPr>
                <w:sz w:val="22"/>
                <w:szCs w:val="22"/>
              </w:rPr>
            </w:pPr>
            <w:r>
              <w:rPr>
                <w:sz w:val="22"/>
                <w:szCs w:val="22"/>
              </w:rPr>
              <w:t xml:space="preserve">0.60% </w:t>
            </w:r>
          </w:p>
        </w:tc>
      </w:tr>
      <w:tr w:rsidR="00642721" w:rsidTr="00FF5CC0">
        <w:trPr>
          <w:trHeight w:val="103"/>
        </w:trPr>
        <w:tc>
          <w:tcPr>
            <w:tcW w:w="2990" w:type="dxa"/>
          </w:tcPr>
          <w:p w:rsidR="00642721" w:rsidRDefault="00642721" w:rsidP="00E24E6F">
            <w:pPr>
              <w:pStyle w:val="Default"/>
              <w:ind w:left="567"/>
              <w:rPr>
                <w:sz w:val="22"/>
                <w:szCs w:val="22"/>
              </w:rPr>
            </w:pPr>
            <w:r>
              <w:rPr>
                <w:sz w:val="22"/>
                <w:szCs w:val="22"/>
              </w:rPr>
              <w:t xml:space="preserve">2019/20 </w:t>
            </w:r>
          </w:p>
        </w:tc>
        <w:tc>
          <w:tcPr>
            <w:tcW w:w="2990" w:type="dxa"/>
          </w:tcPr>
          <w:p w:rsidR="00642721" w:rsidRDefault="00642721" w:rsidP="00E24E6F">
            <w:pPr>
              <w:pStyle w:val="Default"/>
              <w:ind w:left="567"/>
              <w:rPr>
                <w:sz w:val="22"/>
                <w:szCs w:val="22"/>
              </w:rPr>
            </w:pPr>
            <w:r>
              <w:rPr>
                <w:sz w:val="22"/>
                <w:szCs w:val="22"/>
              </w:rPr>
              <w:t xml:space="preserve">0.90% </w:t>
            </w:r>
          </w:p>
        </w:tc>
      </w:tr>
      <w:tr w:rsidR="00642721" w:rsidTr="00FF5CC0">
        <w:trPr>
          <w:trHeight w:val="103"/>
        </w:trPr>
        <w:tc>
          <w:tcPr>
            <w:tcW w:w="2990" w:type="dxa"/>
          </w:tcPr>
          <w:p w:rsidR="00642721" w:rsidRDefault="00642721" w:rsidP="00E24E6F">
            <w:pPr>
              <w:pStyle w:val="Default"/>
              <w:ind w:left="567"/>
              <w:rPr>
                <w:sz w:val="22"/>
                <w:szCs w:val="22"/>
              </w:rPr>
            </w:pPr>
            <w:r>
              <w:rPr>
                <w:sz w:val="22"/>
                <w:szCs w:val="22"/>
              </w:rPr>
              <w:t xml:space="preserve">2020/21 </w:t>
            </w:r>
          </w:p>
        </w:tc>
        <w:tc>
          <w:tcPr>
            <w:tcW w:w="2990" w:type="dxa"/>
          </w:tcPr>
          <w:p w:rsidR="00642721" w:rsidRDefault="00642721" w:rsidP="00E24E6F">
            <w:pPr>
              <w:pStyle w:val="Default"/>
              <w:ind w:left="567"/>
              <w:rPr>
                <w:sz w:val="22"/>
                <w:szCs w:val="22"/>
              </w:rPr>
            </w:pPr>
            <w:r>
              <w:rPr>
                <w:sz w:val="22"/>
                <w:szCs w:val="22"/>
              </w:rPr>
              <w:t xml:space="preserve">1.25% </w:t>
            </w:r>
          </w:p>
        </w:tc>
      </w:tr>
      <w:tr w:rsidR="00642721" w:rsidTr="00FF5CC0">
        <w:trPr>
          <w:trHeight w:val="103"/>
        </w:trPr>
        <w:tc>
          <w:tcPr>
            <w:tcW w:w="2990" w:type="dxa"/>
          </w:tcPr>
          <w:p w:rsidR="00642721" w:rsidRDefault="00642721" w:rsidP="00E24E6F">
            <w:pPr>
              <w:pStyle w:val="Default"/>
              <w:ind w:left="567"/>
              <w:rPr>
                <w:sz w:val="22"/>
                <w:szCs w:val="22"/>
              </w:rPr>
            </w:pPr>
            <w:r>
              <w:rPr>
                <w:sz w:val="22"/>
                <w:szCs w:val="22"/>
              </w:rPr>
              <w:t xml:space="preserve">2021/22 </w:t>
            </w:r>
          </w:p>
        </w:tc>
        <w:tc>
          <w:tcPr>
            <w:tcW w:w="2990" w:type="dxa"/>
          </w:tcPr>
          <w:p w:rsidR="00642721" w:rsidRDefault="00642721" w:rsidP="00E24E6F">
            <w:pPr>
              <w:pStyle w:val="Default"/>
              <w:ind w:left="567"/>
              <w:rPr>
                <w:sz w:val="22"/>
                <w:szCs w:val="22"/>
              </w:rPr>
            </w:pPr>
            <w:r>
              <w:rPr>
                <w:sz w:val="22"/>
                <w:szCs w:val="22"/>
              </w:rPr>
              <w:t xml:space="preserve">1.50% </w:t>
            </w:r>
          </w:p>
        </w:tc>
      </w:tr>
      <w:tr w:rsidR="00642721" w:rsidTr="00FF5CC0">
        <w:trPr>
          <w:trHeight w:val="103"/>
        </w:trPr>
        <w:tc>
          <w:tcPr>
            <w:tcW w:w="2990" w:type="dxa"/>
          </w:tcPr>
          <w:p w:rsidR="00642721" w:rsidRDefault="00642721" w:rsidP="00E24E6F">
            <w:pPr>
              <w:pStyle w:val="Default"/>
              <w:ind w:left="567"/>
              <w:rPr>
                <w:sz w:val="22"/>
                <w:szCs w:val="22"/>
              </w:rPr>
            </w:pPr>
            <w:r>
              <w:rPr>
                <w:sz w:val="22"/>
                <w:szCs w:val="22"/>
              </w:rPr>
              <w:t xml:space="preserve">2022/23 </w:t>
            </w:r>
          </w:p>
        </w:tc>
        <w:tc>
          <w:tcPr>
            <w:tcW w:w="2990" w:type="dxa"/>
          </w:tcPr>
          <w:p w:rsidR="00642721" w:rsidRDefault="00642721" w:rsidP="00E24E6F">
            <w:pPr>
              <w:pStyle w:val="Default"/>
              <w:ind w:left="567"/>
              <w:rPr>
                <w:sz w:val="22"/>
                <w:szCs w:val="22"/>
              </w:rPr>
            </w:pPr>
            <w:r>
              <w:rPr>
                <w:sz w:val="22"/>
                <w:szCs w:val="22"/>
              </w:rPr>
              <w:t xml:space="preserve">1.75% </w:t>
            </w:r>
          </w:p>
        </w:tc>
      </w:tr>
      <w:tr w:rsidR="00642721" w:rsidTr="00FF5CC0">
        <w:trPr>
          <w:trHeight w:val="103"/>
        </w:trPr>
        <w:tc>
          <w:tcPr>
            <w:tcW w:w="2990" w:type="dxa"/>
          </w:tcPr>
          <w:p w:rsidR="00642721" w:rsidRDefault="00642721" w:rsidP="00E24E6F">
            <w:pPr>
              <w:pStyle w:val="Default"/>
              <w:ind w:left="567"/>
              <w:rPr>
                <w:sz w:val="22"/>
                <w:szCs w:val="22"/>
              </w:rPr>
            </w:pPr>
            <w:r>
              <w:rPr>
                <w:sz w:val="22"/>
                <w:szCs w:val="22"/>
              </w:rPr>
              <w:t xml:space="preserve">2023/24 </w:t>
            </w:r>
          </w:p>
        </w:tc>
        <w:tc>
          <w:tcPr>
            <w:tcW w:w="2990" w:type="dxa"/>
          </w:tcPr>
          <w:p w:rsidR="00642721" w:rsidRDefault="00642721" w:rsidP="00E24E6F">
            <w:pPr>
              <w:pStyle w:val="Default"/>
              <w:ind w:left="567"/>
              <w:rPr>
                <w:sz w:val="22"/>
                <w:szCs w:val="22"/>
              </w:rPr>
            </w:pPr>
            <w:r>
              <w:rPr>
                <w:sz w:val="22"/>
                <w:szCs w:val="22"/>
              </w:rPr>
              <w:t xml:space="preserve">2.00% </w:t>
            </w:r>
          </w:p>
        </w:tc>
      </w:tr>
      <w:tr w:rsidR="00642721" w:rsidTr="00FF5CC0">
        <w:trPr>
          <w:trHeight w:val="103"/>
        </w:trPr>
        <w:tc>
          <w:tcPr>
            <w:tcW w:w="2990" w:type="dxa"/>
          </w:tcPr>
          <w:p w:rsidR="00642721" w:rsidRDefault="00642721" w:rsidP="00E24E6F">
            <w:pPr>
              <w:pStyle w:val="Default"/>
              <w:ind w:left="567"/>
              <w:rPr>
                <w:sz w:val="22"/>
                <w:szCs w:val="22"/>
              </w:rPr>
            </w:pPr>
            <w:r>
              <w:rPr>
                <w:sz w:val="22"/>
                <w:szCs w:val="22"/>
              </w:rPr>
              <w:t xml:space="preserve">Later years </w:t>
            </w:r>
          </w:p>
        </w:tc>
        <w:tc>
          <w:tcPr>
            <w:tcW w:w="2990" w:type="dxa"/>
          </w:tcPr>
          <w:p w:rsidR="00642721" w:rsidRDefault="00642721" w:rsidP="00E24E6F">
            <w:pPr>
              <w:pStyle w:val="Default"/>
              <w:ind w:left="567"/>
              <w:rPr>
                <w:sz w:val="22"/>
                <w:szCs w:val="22"/>
              </w:rPr>
            </w:pPr>
            <w:r>
              <w:rPr>
                <w:sz w:val="22"/>
                <w:szCs w:val="22"/>
              </w:rPr>
              <w:t xml:space="preserve">2.75% </w:t>
            </w:r>
          </w:p>
        </w:tc>
      </w:tr>
    </w:tbl>
    <w:p w:rsidR="00AC702D" w:rsidRPr="00A017F5" w:rsidRDefault="00AC702D" w:rsidP="006F7300">
      <w:pPr>
        <w:spacing w:before="45" w:after="45"/>
        <w:jc w:val="both"/>
        <w:rPr>
          <w:rFonts w:cs="Arial"/>
          <w:noProof/>
          <w:color w:val="0D0D0D"/>
          <w:szCs w:val="24"/>
        </w:rPr>
      </w:pPr>
    </w:p>
    <w:p w:rsidR="00642721" w:rsidRDefault="00BF3630" w:rsidP="00E24E6F">
      <w:pPr>
        <w:spacing w:before="90"/>
        <w:ind w:left="561" w:hanging="561"/>
        <w:jc w:val="both"/>
        <w:rPr>
          <w:rFonts w:cs="Arial"/>
          <w:i/>
          <w:color w:val="0000FF"/>
          <w:sz w:val="22"/>
          <w:szCs w:val="22"/>
        </w:rPr>
      </w:pPr>
      <w:r w:rsidRPr="00A017F5">
        <w:rPr>
          <w:rFonts w:cs="Arial"/>
          <w:noProof/>
          <w:color w:val="0D0D0D"/>
          <w:szCs w:val="24"/>
        </w:rPr>
        <w:t>8</w:t>
      </w:r>
      <w:r w:rsidR="00165E08">
        <w:rPr>
          <w:rFonts w:cs="Arial"/>
          <w:noProof/>
          <w:color w:val="0D0D0D"/>
          <w:szCs w:val="24"/>
        </w:rPr>
        <w:t>0</w:t>
      </w:r>
      <w:r w:rsidRPr="00A017F5">
        <w:rPr>
          <w:rFonts w:cs="Arial"/>
          <w:noProof/>
          <w:color w:val="0D0D0D"/>
          <w:szCs w:val="24"/>
        </w:rPr>
        <w:t>.</w:t>
      </w:r>
      <w:r w:rsidR="005F4E5C">
        <w:rPr>
          <w:rFonts w:cs="Arial"/>
          <w:noProof/>
          <w:color w:val="0D0D0D"/>
          <w:szCs w:val="24"/>
        </w:rPr>
        <w:tab/>
      </w:r>
      <w:r w:rsidR="00631435" w:rsidRPr="00CB4A66">
        <w:rPr>
          <w:rFonts w:cs="Arial"/>
          <w:noProof/>
          <w:color w:val="0D0D0D"/>
          <w:szCs w:val="24"/>
        </w:rPr>
        <w:t>Link Asset Services</w:t>
      </w:r>
      <w:r w:rsidRPr="00CB4A66">
        <w:rPr>
          <w:rFonts w:cs="Arial"/>
          <w:noProof/>
          <w:color w:val="0D0D0D"/>
          <w:szCs w:val="24"/>
        </w:rPr>
        <w:t xml:space="preserve"> further advise that “</w:t>
      </w:r>
      <w:r w:rsidR="00642721" w:rsidRPr="00CB4A66">
        <w:rPr>
          <w:rFonts w:cs="Arial"/>
          <w:noProof/>
          <w:color w:val="0D0D0D"/>
          <w:szCs w:val="24"/>
        </w:rPr>
        <w:t>t</w:t>
      </w:r>
      <w:r w:rsidR="00642721" w:rsidRPr="00CB4A66">
        <w:rPr>
          <w:rFonts w:cs="Arial"/>
          <w:noProof/>
          <w:color w:val="0D0D0D"/>
          <w:sz w:val="22"/>
          <w:szCs w:val="22"/>
        </w:rPr>
        <w:t>he overall balance of risks to these forecasts is currently skewed to the upside</w:t>
      </w:r>
      <w:r w:rsidR="00642721" w:rsidRPr="00642721">
        <w:rPr>
          <w:rFonts w:cs="Arial"/>
          <w:noProof/>
          <w:color w:val="0D0D0D"/>
          <w:sz w:val="22"/>
          <w:szCs w:val="22"/>
        </w:rPr>
        <w:t xml:space="preserve"> and are dependent on how strong GDP growth turns out, how quickly inflation pressures rise and how quickly the Brexit negotiations move forward positively.  </w:t>
      </w:r>
    </w:p>
    <w:p w:rsidR="00DA2B16" w:rsidRPr="00A017F5" w:rsidRDefault="00DA2B16" w:rsidP="00DA2B16">
      <w:pPr>
        <w:jc w:val="both"/>
        <w:rPr>
          <w:rFonts w:cs="Arial"/>
          <w:noProof/>
          <w:szCs w:val="24"/>
        </w:rPr>
      </w:pPr>
    </w:p>
    <w:p w:rsidR="003E0CB8" w:rsidRDefault="00DA2B16" w:rsidP="00DA2B16">
      <w:pPr>
        <w:numPr>
          <w:ilvl w:val="12"/>
          <w:numId w:val="0"/>
        </w:numPr>
        <w:ind w:left="561" w:hanging="561"/>
        <w:jc w:val="both"/>
        <w:rPr>
          <w:rFonts w:cs="Arial"/>
          <w:noProof/>
          <w:szCs w:val="24"/>
        </w:rPr>
      </w:pPr>
      <w:r w:rsidRPr="00A017F5">
        <w:rPr>
          <w:rFonts w:cs="Arial"/>
          <w:noProof/>
          <w:color w:val="000000"/>
          <w:szCs w:val="24"/>
        </w:rPr>
        <w:t>8</w:t>
      </w:r>
      <w:r w:rsidR="00165E08">
        <w:rPr>
          <w:rFonts w:cs="Arial"/>
          <w:noProof/>
          <w:color w:val="000000"/>
          <w:szCs w:val="24"/>
        </w:rPr>
        <w:t>1</w:t>
      </w:r>
      <w:r w:rsidRPr="00A017F5">
        <w:rPr>
          <w:rFonts w:cs="Arial"/>
          <w:b/>
          <w:noProof/>
          <w:color w:val="000000"/>
          <w:szCs w:val="24"/>
        </w:rPr>
        <w:t>.</w:t>
      </w:r>
      <w:r w:rsidR="005F4E5C">
        <w:rPr>
          <w:rFonts w:cs="Arial"/>
          <w:b/>
          <w:noProof/>
          <w:color w:val="000000"/>
          <w:szCs w:val="24"/>
        </w:rPr>
        <w:tab/>
      </w:r>
      <w:r w:rsidRPr="00A017F5">
        <w:rPr>
          <w:rFonts w:cs="Arial"/>
          <w:b/>
          <w:noProof/>
          <w:color w:val="000000"/>
          <w:szCs w:val="24"/>
        </w:rPr>
        <w:t>Investment treasury indicator and limit</w:t>
      </w:r>
      <w:r w:rsidRPr="00A017F5">
        <w:rPr>
          <w:rFonts w:cs="Arial"/>
          <w:noProof/>
          <w:color w:val="000000"/>
          <w:sz w:val="22"/>
          <w:szCs w:val="22"/>
        </w:rPr>
        <w:t xml:space="preserve"> </w:t>
      </w:r>
      <w:r w:rsidRPr="00A017F5">
        <w:rPr>
          <w:rFonts w:cs="Arial"/>
          <w:noProof/>
          <w:color w:val="000000"/>
          <w:szCs w:val="24"/>
        </w:rPr>
        <w:t>- total principal funds invested for greater than 36</w:t>
      </w:r>
      <w:r w:rsidR="003E0CB8">
        <w:rPr>
          <w:rFonts w:cs="Arial"/>
          <w:noProof/>
          <w:color w:val="000000"/>
          <w:szCs w:val="24"/>
        </w:rPr>
        <w:t>5</w:t>
      </w:r>
      <w:r w:rsidRPr="00A017F5">
        <w:rPr>
          <w:rFonts w:cs="Arial"/>
          <w:noProof/>
          <w:color w:val="000000"/>
          <w:szCs w:val="24"/>
        </w:rPr>
        <w:t xml:space="preserve"> days. These limits are set with regard to the Council’s liquidity requirements and to reduce the need for early sale of </w:t>
      </w:r>
      <w:r w:rsidRPr="00A017F5">
        <w:rPr>
          <w:rFonts w:cs="Arial"/>
          <w:noProof/>
          <w:color w:val="000000"/>
          <w:szCs w:val="24"/>
        </w:rPr>
        <w:lastRenderedPageBreak/>
        <w:t>an investment.</w:t>
      </w:r>
      <w:r w:rsidRPr="00A017F5">
        <w:rPr>
          <w:rFonts w:cs="Arial"/>
          <w:noProof/>
          <w:sz w:val="22"/>
          <w:szCs w:val="22"/>
        </w:rPr>
        <w:t xml:space="preserve"> </w:t>
      </w:r>
      <w:r w:rsidRPr="00A017F5">
        <w:rPr>
          <w:rFonts w:cs="Arial"/>
          <w:noProof/>
          <w:szCs w:val="24"/>
        </w:rPr>
        <w:t>The Council’s limit for investments of over 36</w:t>
      </w:r>
      <w:r w:rsidR="003E0CB8">
        <w:rPr>
          <w:rFonts w:cs="Arial"/>
          <w:noProof/>
          <w:szCs w:val="24"/>
        </w:rPr>
        <w:t>5</w:t>
      </w:r>
      <w:r w:rsidRPr="00A017F5">
        <w:rPr>
          <w:rFonts w:cs="Arial"/>
          <w:noProof/>
          <w:szCs w:val="24"/>
        </w:rPr>
        <w:t xml:space="preserve"> days is</w:t>
      </w:r>
      <w:r w:rsidR="0077757D">
        <w:rPr>
          <w:rFonts w:cs="Arial"/>
          <w:noProof/>
          <w:szCs w:val="24"/>
        </w:rPr>
        <w:t xml:space="preserve"> </w:t>
      </w:r>
      <w:r w:rsidR="004245A4">
        <w:rPr>
          <w:rFonts w:cs="Arial"/>
          <w:noProof/>
          <w:szCs w:val="24"/>
        </w:rPr>
        <w:t>currently £</w:t>
      </w:r>
      <w:r w:rsidR="003E0CB8">
        <w:rPr>
          <w:rFonts w:cs="Arial"/>
          <w:noProof/>
          <w:szCs w:val="24"/>
        </w:rPr>
        <w:t>60</w:t>
      </w:r>
      <w:r w:rsidR="004245A4">
        <w:rPr>
          <w:rFonts w:cs="Arial"/>
          <w:noProof/>
          <w:szCs w:val="24"/>
        </w:rPr>
        <w:t>m</w:t>
      </w:r>
      <w:r w:rsidR="003E0CB8">
        <w:rPr>
          <w:rFonts w:cs="Arial"/>
          <w:noProof/>
          <w:szCs w:val="24"/>
        </w:rPr>
        <w:t>.</w:t>
      </w:r>
    </w:p>
    <w:p w:rsidR="00BF3630" w:rsidRDefault="004245A4" w:rsidP="00DA2B16">
      <w:pPr>
        <w:numPr>
          <w:ilvl w:val="12"/>
          <w:numId w:val="0"/>
        </w:numPr>
        <w:ind w:left="561" w:hanging="561"/>
        <w:jc w:val="both"/>
        <w:rPr>
          <w:rFonts w:cs="Arial"/>
          <w:noProof/>
          <w:szCs w:val="24"/>
        </w:rPr>
      </w:pPr>
      <w:r>
        <w:rPr>
          <w:rFonts w:cs="Arial"/>
          <w:noProof/>
          <w:szCs w:val="24"/>
        </w:rPr>
        <w:t xml:space="preserve"> </w:t>
      </w:r>
    </w:p>
    <w:p w:rsidR="00DA2B16" w:rsidRPr="0061276D" w:rsidRDefault="00DA2B16" w:rsidP="00DA2B16">
      <w:pPr>
        <w:ind w:left="567" w:hanging="567"/>
        <w:jc w:val="both"/>
        <w:rPr>
          <w:rFonts w:cs="Arial"/>
          <w:bCs/>
          <w:szCs w:val="24"/>
        </w:rPr>
      </w:pPr>
      <w:r w:rsidRPr="0061276D">
        <w:rPr>
          <w:rFonts w:cs="Arial"/>
          <w:bCs/>
          <w:szCs w:val="24"/>
        </w:rPr>
        <w:t>8</w:t>
      </w:r>
      <w:r w:rsidR="00165E08">
        <w:rPr>
          <w:rFonts w:cs="Arial"/>
          <w:bCs/>
          <w:szCs w:val="24"/>
        </w:rPr>
        <w:t>2</w:t>
      </w:r>
      <w:r w:rsidRPr="0061276D">
        <w:rPr>
          <w:rFonts w:cs="Arial"/>
          <w:bCs/>
          <w:szCs w:val="24"/>
        </w:rPr>
        <w:t>.</w:t>
      </w:r>
      <w:r w:rsidR="005F4E5C">
        <w:rPr>
          <w:rFonts w:cs="Arial"/>
          <w:bCs/>
          <w:szCs w:val="24"/>
        </w:rPr>
        <w:tab/>
      </w:r>
      <w:r w:rsidR="005F4E5C" w:rsidRPr="0045386C">
        <w:rPr>
          <w:rFonts w:cs="Arial"/>
          <w:bCs/>
          <w:szCs w:val="24"/>
        </w:rPr>
        <w:t>T</w:t>
      </w:r>
      <w:r w:rsidRPr="0045386C">
        <w:rPr>
          <w:rFonts w:cs="Arial"/>
          <w:bCs/>
          <w:szCs w:val="24"/>
        </w:rPr>
        <w:t>hroughout</w:t>
      </w:r>
      <w:r w:rsidR="003E0CB8" w:rsidRPr="0045386C">
        <w:rPr>
          <w:rFonts w:cs="Arial"/>
          <w:bCs/>
          <w:szCs w:val="24"/>
        </w:rPr>
        <w:t xml:space="preserve"> </w:t>
      </w:r>
      <w:r w:rsidRPr="0045386C">
        <w:rPr>
          <w:rFonts w:cs="Arial"/>
          <w:bCs/>
          <w:szCs w:val="24"/>
        </w:rPr>
        <w:t>201</w:t>
      </w:r>
      <w:r w:rsidR="003E0CB8" w:rsidRPr="0045386C">
        <w:rPr>
          <w:rFonts w:cs="Arial"/>
          <w:bCs/>
          <w:szCs w:val="24"/>
        </w:rPr>
        <w:t>7</w:t>
      </w:r>
      <w:r w:rsidRPr="0045386C">
        <w:rPr>
          <w:rFonts w:cs="Arial"/>
          <w:bCs/>
          <w:szCs w:val="24"/>
        </w:rPr>
        <w:t>-1</w:t>
      </w:r>
      <w:r w:rsidR="003E0CB8" w:rsidRPr="0045386C">
        <w:rPr>
          <w:rFonts w:cs="Arial"/>
          <w:bCs/>
          <w:szCs w:val="24"/>
        </w:rPr>
        <w:t xml:space="preserve">8 </w:t>
      </w:r>
      <w:r w:rsidRPr="0045386C">
        <w:rPr>
          <w:rFonts w:cs="Arial"/>
          <w:bCs/>
          <w:szCs w:val="24"/>
        </w:rPr>
        <w:t xml:space="preserve">interest rates </w:t>
      </w:r>
      <w:r w:rsidR="00A21334" w:rsidRPr="0045386C">
        <w:rPr>
          <w:rFonts w:cs="Arial"/>
          <w:bCs/>
          <w:szCs w:val="24"/>
        </w:rPr>
        <w:t>receivable for short term investments have fallen substantially</w:t>
      </w:r>
      <w:r w:rsidR="0061276D" w:rsidRPr="0045386C">
        <w:rPr>
          <w:rFonts w:cs="Arial"/>
          <w:bCs/>
          <w:szCs w:val="24"/>
        </w:rPr>
        <w:t xml:space="preserve"> w</w:t>
      </w:r>
      <w:r w:rsidR="00A21334" w:rsidRPr="0045386C">
        <w:rPr>
          <w:rFonts w:cs="Arial"/>
          <w:bCs/>
          <w:szCs w:val="24"/>
        </w:rPr>
        <w:t>ith the Council receiving 0.</w:t>
      </w:r>
      <w:r w:rsidR="006D3AA3" w:rsidRPr="0045386C">
        <w:rPr>
          <w:rFonts w:cs="Arial"/>
          <w:bCs/>
          <w:szCs w:val="24"/>
        </w:rPr>
        <w:t>10</w:t>
      </w:r>
      <w:r w:rsidR="00A21334" w:rsidRPr="0045386C">
        <w:rPr>
          <w:rFonts w:cs="Arial"/>
          <w:bCs/>
          <w:szCs w:val="24"/>
        </w:rPr>
        <w:t xml:space="preserve">% </w:t>
      </w:r>
      <w:r w:rsidR="0061276D" w:rsidRPr="0045386C">
        <w:rPr>
          <w:rFonts w:cs="Arial"/>
          <w:bCs/>
          <w:szCs w:val="24"/>
        </w:rPr>
        <w:t>compared to 0.</w:t>
      </w:r>
      <w:r w:rsidR="006D3AA3" w:rsidRPr="0045386C">
        <w:rPr>
          <w:rFonts w:cs="Arial"/>
          <w:bCs/>
          <w:szCs w:val="24"/>
        </w:rPr>
        <w:t>20</w:t>
      </w:r>
      <w:r w:rsidR="0061276D" w:rsidRPr="0045386C">
        <w:rPr>
          <w:rFonts w:cs="Arial"/>
          <w:bCs/>
          <w:szCs w:val="24"/>
        </w:rPr>
        <w:t xml:space="preserve">% at the beginning of the year for deposits of under one month. The Council’s bankers also reduced the call account rate from </w:t>
      </w:r>
      <w:r w:rsidRPr="0045386C">
        <w:rPr>
          <w:rFonts w:cs="Arial"/>
          <w:bCs/>
          <w:szCs w:val="24"/>
        </w:rPr>
        <w:t xml:space="preserve">0.25% </w:t>
      </w:r>
      <w:r w:rsidR="0061276D" w:rsidRPr="0045386C">
        <w:rPr>
          <w:rFonts w:cs="Arial"/>
          <w:bCs/>
          <w:szCs w:val="24"/>
        </w:rPr>
        <w:t>to 0.01% in December.</w:t>
      </w:r>
      <w:r w:rsidR="006D3AA3" w:rsidRPr="0081761C">
        <w:rPr>
          <w:rFonts w:cs="Arial"/>
          <w:bCs/>
          <w:szCs w:val="24"/>
        </w:rPr>
        <w:t xml:space="preserve"> T</w:t>
      </w:r>
      <w:r w:rsidR="006D3AA3">
        <w:rPr>
          <w:rFonts w:cs="Arial"/>
          <w:bCs/>
          <w:szCs w:val="24"/>
        </w:rPr>
        <w:t>he increase in base rate November 2017 has resulted in a slight increase in</w:t>
      </w:r>
      <w:r w:rsidR="00CB4A66">
        <w:rPr>
          <w:rFonts w:cs="Arial"/>
          <w:bCs/>
          <w:szCs w:val="24"/>
        </w:rPr>
        <w:t xml:space="preserve"> investment</w:t>
      </w:r>
      <w:r w:rsidR="006D3AA3">
        <w:rPr>
          <w:rFonts w:cs="Arial"/>
          <w:bCs/>
          <w:szCs w:val="24"/>
        </w:rPr>
        <w:t xml:space="preserve"> rates</w:t>
      </w:r>
      <w:r w:rsidR="00CB4A66">
        <w:rPr>
          <w:rFonts w:cs="Arial"/>
          <w:bCs/>
          <w:szCs w:val="24"/>
        </w:rPr>
        <w:t xml:space="preserve"> in the last quarter.</w:t>
      </w:r>
    </w:p>
    <w:p w:rsidR="00DA2B16" w:rsidRPr="0061276D" w:rsidRDefault="00DA2B16" w:rsidP="00DA2B16">
      <w:pPr>
        <w:ind w:left="561" w:hanging="561"/>
        <w:jc w:val="both"/>
        <w:rPr>
          <w:rFonts w:cs="Arial"/>
          <w:bCs/>
          <w:szCs w:val="24"/>
        </w:rPr>
      </w:pPr>
    </w:p>
    <w:p w:rsidR="00DA2B16" w:rsidRPr="0061276D" w:rsidRDefault="00DA2B16" w:rsidP="00DA2B16">
      <w:pPr>
        <w:ind w:left="561" w:hanging="561"/>
        <w:jc w:val="both"/>
        <w:rPr>
          <w:rFonts w:cs="Arial"/>
          <w:bCs/>
          <w:szCs w:val="24"/>
        </w:rPr>
      </w:pPr>
      <w:r w:rsidRPr="0061276D">
        <w:rPr>
          <w:rFonts w:cs="Arial"/>
          <w:bCs/>
          <w:szCs w:val="24"/>
        </w:rPr>
        <w:t>8</w:t>
      </w:r>
      <w:r w:rsidR="00165E08">
        <w:rPr>
          <w:rFonts w:cs="Arial"/>
          <w:bCs/>
          <w:szCs w:val="24"/>
        </w:rPr>
        <w:t>3</w:t>
      </w:r>
      <w:r w:rsidRPr="0061276D">
        <w:rPr>
          <w:rFonts w:cs="Arial"/>
          <w:bCs/>
          <w:szCs w:val="24"/>
        </w:rPr>
        <w:t>.</w:t>
      </w:r>
      <w:r w:rsidR="005F4E5C">
        <w:rPr>
          <w:rFonts w:cs="Arial"/>
          <w:bCs/>
          <w:szCs w:val="24"/>
        </w:rPr>
        <w:tab/>
      </w:r>
      <w:r w:rsidRPr="0045386C">
        <w:rPr>
          <w:rFonts w:cs="Arial"/>
          <w:bCs/>
          <w:szCs w:val="24"/>
        </w:rPr>
        <w:t xml:space="preserve">As a consequence of these rates and the maturity of several higher yielding investments the Council’s return for the whole year is likely to be close to </w:t>
      </w:r>
      <w:r w:rsidR="00AA6570" w:rsidRPr="005415B4">
        <w:rPr>
          <w:rFonts w:cs="Arial"/>
          <w:bCs/>
          <w:szCs w:val="24"/>
        </w:rPr>
        <w:t>0.</w:t>
      </w:r>
      <w:r w:rsidR="00C036C1" w:rsidRPr="005415B4">
        <w:rPr>
          <w:rFonts w:cs="Arial"/>
          <w:bCs/>
          <w:szCs w:val="24"/>
        </w:rPr>
        <w:t>22</w:t>
      </w:r>
      <w:r w:rsidRPr="005415B4">
        <w:rPr>
          <w:rFonts w:cs="Arial"/>
          <w:bCs/>
          <w:szCs w:val="24"/>
        </w:rPr>
        <w:t>%.</w:t>
      </w:r>
      <w:r w:rsidRPr="0045386C">
        <w:rPr>
          <w:rFonts w:cs="Arial"/>
          <w:bCs/>
          <w:szCs w:val="24"/>
        </w:rPr>
        <w:t xml:space="preserve"> Whilst this </w:t>
      </w:r>
      <w:r w:rsidR="0061276D" w:rsidRPr="0045386C">
        <w:rPr>
          <w:rFonts w:cs="Arial"/>
          <w:bCs/>
          <w:szCs w:val="24"/>
        </w:rPr>
        <w:t xml:space="preserve">is still above the short term LIBOR </w:t>
      </w:r>
      <w:r w:rsidRPr="0045386C">
        <w:rPr>
          <w:rFonts w:cs="Arial"/>
          <w:bCs/>
          <w:szCs w:val="24"/>
        </w:rPr>
        <w:t xml:space="preserve">benchmark and </w:t>
      </w:r>
      <w:r w:rsidR="0061276D" w:rsidRPr="0045386C">
        <w:rPr>
          <w:rFonts w:cs="Arial"/>
          <w:bCs/>
          <w:szCs w:val="24"/>
        </w:rPr>
        <w:t xml:space="preserve">comparable to </w:t>
      </w:r>
      <w:r w:rsidRPr="0045386C">
        <w:rPr>
          <w:rFonts w:cs="Arial"/>
          <w:bCs/>
          <w:szCs w:val="24"/>
        </w:rPr>
        <w:t xml:space="preserve">peer authorities it represents a substantial reduction from </w:t>
      </w:r>
      <w:r w:rsidR="0061276D" w:rsidRPr="0045386C">
        <w:rPr>
          <w:rFonts w:cs="Arial"/>
          <w:bCs/>
          <w:szCs w:val="24"/>
        </w:rPr>
        <w:t xml:space="preserve">rates earned in </w:t>
      </w:r>
      <w:r w:rsidR="00555AEE" w:rsidRPr="0045386C">
        <w:rPr>
          <w:rFonts w:cs="Arial"/>
          <w:bCs/>
          <w:szCs w:val="24"/>
        </w:rPr>
        <w:t xml:space="preserve">previous </w:t>
      </w:r>
      <w:r w:rsidR="0061276D" w:rsidRPr="0045386C">
        <w:rPr>
          <w:rFonts w:cs="Arial"/>
          <w:bCs/>
          <w:szCs w:val="24"/>
        </w:rPr>
        <w:t>years.</w:t>
      </w:r>
    </w:p>
    <w:p w:rsidR="00DA2B16" w:rsidRPr="00BF3630" w:rsidRDefault="00DA2B16" w:rsidP="00DA2B16">
      <w:pPr>
        <w:jc w:val="both"/>
        <w:rPr>
          <w:rFonts w:cs="Arial"/>
          <w:bCs/>
          <w:szCs w:val="24"/>
          <w:highlight w:val="yellow"/>
        </w:rPr>
      </w:pPr>
    </w:p>
    <w:p w:rsidR="00DA2B16" w:rsidRDefault="00DA2B16" w:rsidP="00DA2B16">
      <w:pPr>
        <w:ind w:left="561" w:hanging="561"/>
        <w:jc w:val="both"/>
        <w:rPr>
          <w:rFonts w:cs="Arial"/>
          <w:bCs/>
          <w:szCs w:val="24"/>
        </w:rPr>
      </w:pPr>
      <w:r w:rsidRPr="008052FB">
        <w:rPr>
          <w:rFonts w:cs="Arial"/>
          <w:bCs/>
          <w:szCs w:val="24"/>
        </w:rPr>
        <w:t>8</w:t>
      </w:r>
      <w:r w:rsidR="00165E08">
        <w:rPr>
          <w:rFonts w:cs="Arial"/>
          <w:bCs/>
          <w:szCs w:val="24"/>
        </w:rPr>
        <w:t>4</w:t>
      </w:r>
      <w:r w:rsidRPr="008052FB">
        <w:rPr>
          <w:rFonts w:cs="Arial"/>
          <w:bCs/>
          <w:szCs w:val="24"/>
        </w:rPr>
        <w:t>.</w:t>
      </w:r>
      <w:r w:rsidR="005F4E5C">
        <w:rPr>
          <w:rFonts w:cs="Arial"/>
          <w:bCs/>
          <w:szCs w:val="24"/>
        </w:rPr>
        <w:tab/>
      </w:r>
      <w:r w:rsidRPr="008052FB">
        <w:rPr>
          <w:rFonts w:cs="Arial"/>
          <w:bCs/>
          <w:szCs w:val="24"/>
        </w:rPr>
        <w:t>As a result of the Council’s strategy and the interest rates available the only counterparties actively in use during 201</w:t>
      </w:r>
      <w:r w:rsidR="003E0CB8">
        <w:rPr>
          <w:rFonts w:cs="Arial"/>
          <w:bCs/>
          <w:szCs w:val="24"/>
        </w:rPr>
        <w:t>7</w:t>
      </w:r>
      <w:r w:rsidR="0061276D" w:rsidRPr="008052FB">
        <w:rPr>
          <w:rFonts w:cs="Arial"/>
          <w:bCs/>
          <w:szCs w:val="24"/>
        </w:rPr>
        <w:t>-1</w:t>
      </w:r>
      <w:r w:rsidR="003E0CB8">
        <w:rPr>
          <w:rFonts w:cs="Arial"/>
          <w:bCs/>
          <w:szCs w:val="24"/>
        </w:rPr>
        <w:t>8</w:t>
      </w:r>
      <w:r w:rsidRPr="008052FB">
        <w:rPr>
          <w:rFonts w:cs="Arial"/>
          <w:bCs/>
          <w:szCs w:val="24"/>
        </w:rPr>
        <w:t xml:space="preserve"> have been Lloyds</w:t>
      </w:r>
      <w:r w:rsidR="00F43823">
        <w:rPr>
          <w:rFonts w:cs="Arial"/>
          <w:bCs/>
          <w:szCs w:val="24"/>
        </w:rPr>
        <w:t>,</w:t>
      </w:r>
      <w:r w:rsidR="0061276D" w:rsidRPr="008052FB">
        <w:rPr>
          <w:rFonts w:cs="Arial"/>
          <w:bCs/>
          <w:szCs w:val="24"/>
        </w:rPr>
        <w:t xml:space="preserve"> Royal Bank of Scotland Group </w:t>
      </w:r>
      <w:r w:rsidRPr="008052FB">
        <w:rPr>
          <w:rFonts w:cs="Arial"/>
          <w:bCs/>
          <w:szCs w:val="24"/>
        </w:rPr>
        <w:t>and Svenska Handelsbanken</w:t>
      </w:r>
      <w:r w:rsidRPr="0081761C">
        <w:rPr>
          <w:rFonts w:cs="Arial"/>
          <w:bCs/>
          <w:szCs w:val="24"/>
        </w:rPr>
        <w:t xml:space="preserve">. </w:t>
      </w:r>
      <w:r w:rsidRPr="0045386C">
        <w:rPr>
          <w:rFonts w:cs="Arial"/>
          <w:bCs/>
          <w:szCs w:val="24"/>
        </w:rPr>
        <w:t xml:space="preserve">The investment portfolio has inevitably remained concentrated with RBS and Lloyds with </w:t>
      </w:r>
      <w:r w:rsidR="00555AEE" w:rsidRPr="0045386C">
        <w:rPr>
          <w:rFonts w:cs="Arial"/>
          <w:bCs/>
          <w:szCs w:val="24"/>
        </w:rPr>
        <w:t>82.5</w:t>
      </w:r>
      <w:r w:rsidRPr="0045386C">
        <w:rPr>
          <w:rFonts w:cs="Arial"/>
          <w:bCs/>
          <w:szCs w:val="24"/>
        </w:rPr>
        <w:t>% of the total portfolio invested with them on 31</w:t>
      </w:r>
      <w:r w:rsidRPr="0045386C">
        <w:rPr>
          <w:rFonts w:cs="Arial"/>
          <w:bCs/>
          <w:szCs w:val="24"/>
          <w:vertAlign w:val="superscript"/>
        </w:rPr>
        <w:t>st</w:t>
      </w:r>
      <w:r w:rsidRPr="0045386C">
        <w:rPr>
          <w:rFonts w:cs="Arial"/>
          <w:bCs/>
          <w:szCs w:val="24"/>
        </w:rPr>
        <w:t xml:space="preserve"> December </w:t>
      </w:r>
      <w:r w:rsidR="00642721" w:rsidRPr="0045386C">
        <w:rPr>
          <w:rFonts w:cs="Arial"/>
          <w:bCs/>
          <w:szCs w:val="24"/>
        </w:rPr>
        <w:t>2017</w:t>
      </w:r>
      <w:r w:rsidRPr="0045386C">
        <w:rPr>
          <w:rFonts w:cs="Arial"/>
          <w:bCs/>
          <w:szCs w:val="24"/>
        </w:rPr>
        <w:t xml:space="preserve">. When opportunities arise consistent with the Council’s policies diversification will be sought but it is not anticipated that there will be any significant change during </w:t>
      </w:r>
      <w:r w:rsidR="00642721" w:rsidRPr="0045386C">
        <w:rPr>
          <w:rFonts w:cs="Arial"/>
          <w:bCs/>
          <w:szCs w:val="24"/>
        </w:rPr>
        <w:t>2018</w:t>
      </w:r>
      <w:r w:rsidR="008052FB" w:rsidRPr="0045386C">
        <w:rPr>
          <w:rFonts w:cs="Arial"/>
          <w:bCs/>
          <w:szCs w:val="24"/>
        </w:rPr>
        <w:t>-</w:t>
      </w:r>
      <w:r w:rsidR="00642721" w:rsidRPr="0045386C">
        <w:rPr>
          <w:rFonts w:cs="Arial"/>
          <w:bCs/>
          <w:szCs w:val="24"/>
        </w:rPr>
        <w:t>19</w:t>
      </w:r>
      <w:r w:rsidRPr="0045386C">
        <w:rPr>
          <w:rFonts w:cs="Arial"/>
          <w:bCs/>
          <w:szCs w:val="24"/>
        </w:rPr>
        <w:t>.</w:t>
      </w:r>
    </w:p>
    <w:p w:rsidR="001D7DC7" w:rsidRDefault="001D7DC7" w:rsidP="00DA2B16">
      <w:pPr>
        <w:ind w:left="561" w:hanging="561"/>
        <w:jc w:val="both"/>
        <w:rPr>
          <w:rFonts w:cs="Arial"/>
          <w:bCs/>
          <w:szCs w:val="24"/>
        </w:rPr>
      </w:pPr>
    </w:p>
    <w:p w:rsidR="001D7DC7" w:rsidRPr="00BD35C4" w:rsidRDefault="001D7DC7" w:rsidP="00DA2B16">
      <w:pPr>
        <w:ind w:left="561" w:hanging="561"/>
        <w:jc w:val="both"/>
        <w:rPr>
          <w:rFonts w:cs="Arial"/>
          <w:bCs/>
          <w:szCs w:val="24"/>
        </w:rPr>
      </w:pPr>
      <w:r w:rsidRPr="00BD35C4">
        <w:rPr>
          <w:rFonts w:cs="Arial"/>
          <w:bCs/>
          <w:szCs w:val="24"/>
        </w:rPr>
        <w:t>8</w:t>
      </w:r>
      <w:r w:rsidR="00165E08">
        <w:rPr>
          <w:rFonts w:cs="Arial"/>
          <w:bCs/>
          <w:szCs w:val="24"/>
        </w:rPr>
        <w:t>5</w:t>
      </w:r>
      <w:r w:rsidRPr="00BD35C4">
        <w:rPr>
          <w:rFonts w:cs="Arial"/>
          <w:bCs/>
          <w:szCs w:val="24"/>
        </w:rPr>
        <w:t>.</w:t>
      </w:r>
      <w:r w:rsidRPr="00BD35C4">
        <w:rPr>
          <w:rFonts w:cs="Arial"/>
          <w:bCs/>
          <w:szCs w:val="24"/>
        </w:rPr>
        <w:tab/>
      </w:r>
      <w:r w:rsidR="00FA2F67" w:rsidRPr="00BD35C4">
        <w:rPr>
          <w:rFonts w:cs="Arial"/>
          <w:bCs/>
          <w:szCs w:val="24"/>
        </w:rPr>
        <w:t>A</w:t>
      </w:r>
      <w:r w:rsidR="00E96A69" w:rsidRPr="00BD35C4">
        <w:rPr>
          <w:rFonts w:cs="Arial"/>
          <w:bCs/>
          <w:szCs w:val="24"/>
        </w:rPr>
        <w:t>uthority has been given to plac</w:t>
      </w:r>
      <w:r w:rsidR="00DC6B3D">
        <w:rPr>
          <w:rFonts w:cs="Arial"/>
          <w:bCs/>
          <w:szCs w:val="24"/>
        </w:rPr>
        <w:t>e</w:t>
      </w:r>
      <w:r w:rsidR="00E96A69" w:rsidRPr="00BD35C4">
        <w:rPr>
          <w:rFonts w:cs="Arial"/>
          <w:bCs/>
          <w:szCs w:val="24"/>
        </w:rPr>
        <w:t xml:space="preserve"> funds </w:t>
      </w:r>
      <w:r w:rsidR="00512934">
        <w:rPr>
          <w:rFonts w:cs="Arial"/>
          <w:bCs/>
          <w:szCs w:val="24"/>
        </w:rPr>
        <w:t>in</w:t>
      </w:r>
      <w:r w:rsidR="00E96A69" w:rsidRPr="00BD35C4">
        <w:rPr>
          <w:rFonts w:cs="Arial"/>
          <w:bCs/>
          <w:szCs w:val="24"/>
        </w:rPr>
        <w:t xml:space="preserve"> ‘non-standard investments’</w:t>
      </w:r>
      <w:r w:rsidR="00BD35C4" w:rsidRPr="00BD35C4">
        <w:rPr>
          <w:rFonts w:cs="Arial"/>
          <w:bCs/>
          <w:szCs w:val="24"/>
        </w:rPr>
        <w:t xml:space="preserve"> up to a value of £10m. Officers are considering</w:t>
      </w:r>
      <w:r w:rsidR="00E96A69" w:rsidRPr="00BD35C4">
        <w:rPr>
          <w:rFonts w:cs="Arial"/>
          <w:bCs/>
          <w:szCs w:val="24"/>
        </w:rPr>
        <w:t xml:space="preserve"> </w:t>
      </w:r>
      <w:r w:rsidR="00BD35C4" w:rsidRPr="00BD35C4">
        <w:rPr>
          <w:rFonts w:cs="Arial"/>
          <w:bCs/>
          <w:szCs w:val="24"/>
        </w:rPr>
        <w:t>what investment opportunities and counterparties should be included to utilise this facility.</w:t>
      </w:r>
      <w:r w:rsidR="00E96A69" w:rsidRPr="00BD35C4">
        <w:rPr>
          <w:rFonts w:cs="Arial"/>
          <w:bCs/>
          <w:szCs w:val="24"/>
        </w:rPr>
        <w:t xml:space="preserve"> </w:t>
      </w:r>
    </w:p>
    <w:p w:rsidR="00BF3630" w:rsidRDefault="00A017F5" w:rsidP="00BF3630">
      <w:pPr>
        <w:spacing w:before="270" w:after="180"/>
        <w:ind w:left="360" w:hanging="360"/>
        <w:jc w:val="both"/>
        <w:rPr>
          <w:rFonts w:cs="Arial"/>
          <w:b/>
          <w:noProof/>
          <w:sz w:val="28"/>
          <w:szCs w:val="28"/>
        </w:rPr>
      </w:pPr>
      <w:r w:rsidRPr="00BD35C4">
        <w:rPr>
          <w:rFonts w:cs="Arial"/>
          <w:b/>
          <w:noProof/>
          <w:sz w:val="28"/>
          <w:szCs w:val="28"/>
        </w:rPr>
        <w:t>4.5</w:t>
      </w:r>
      <w:r w:rsidR="005F4E5C" w:rsidRPr="00BD35C4">
        <w:rPr>
          <w:rFonts w:cs="Arial"/>
          <w:b/>
          <w:noProof/>
          <w:sz w:val="28"/>
          <w:szCs w:val="28"/>
        </w:rPr>
        <w:t xml:space="preserve"> </w:t>
      </w:r>
      <w:r w:rsidR="00BF3630" w:rsidRPr="00BD35C4">
        <w:rPr>
          <w:rFonts w:cs="Arial"/>
          <w:b/>
          <w:noProof/>
          <w:sz w:val="28"/>
          <w:szCs w:val="28"/>
        </w:rPr>
        <w:t>Investment risk benchmarking</w:t>
      </w:r>
    </w:p>
    <w:p w:rsidR="00A017F5" w:rsidRDefault="008C25BC" w:rsidP="000479FC">
      <w:pPr>
        <w:spacing w:before="270" w:after="180"/>
        <w:ind w:left="567" w:hanging="567"/>
        <w:jc w:val="both"/>
        <w:rPr>
          <w:rFonts w:cs="Arial"/>
          <w:b/>
          <w:bCs/>
          <w:color w:val="FF0000"/>
          <w:szCs w:val="24"/>
        </w:rPr>
      </w:pPr>
      <w:r>
        <w:rPr>
          <w:rFonts w:cs="Arial"/>
          <w:bCs/>
          <w:szCs w:val="24"/>
        </w:rPr>
        <w:t>8</w:t>
      </w:r>
      <w:r w:rsidR="00165E08">
        <w:rPr>
          <w:rFonts w:cs="Arial"/>
          <w:bCs/>
          <w:szCs w:val="24"/>
        </w:rPr>
        <w:t>6</w:t>
      </w:r>
      <w:r w:rsidR="000479FC" w:rsidRPr="005F4E5C">
        <w:rPr>
          <w:rFonts w:cs="Arial"/>
          <w:bCs/>
          <w:szCs w:val="24"/>
        </w:rPr>
        <w:t>.</w:t>
      </w:r>
      <w:r w:rsidR="000479FC">
        <w:rPr>
          <w:rFonts w:cs="Arial"/>
          <w:bCs/>
          <w:szCs w:val="24"/>
        </w:rPr>
        <w:tab/>
      </w:r>
      <w:r w:rsidR="003015A2" w:rsidRPr="003015A2">
        <w:rPr>
          <w:rFonts w:cs="Arial"/>
          <w:bCs/>
          <w:szCs w:val="24"/>
        </w:rPr>
        <w:t>This Council use</w:t>
      </w:r>
      <w:r w:rsidR="003015A2">
        <w:rPr>
          <w:rFonts w:cs="Arial"/>
          <w:bCs/>
          <w:szCs w:val="24"/>
        </w:rPr>
        <w:t xml:space="preserve">s the </w:t>
      </w:r>
      <w:r w:rsidR="000479FC">
        <w:rPr>
          <w:rFonts w:cs="Arial"/>
          <w:bCs/>
          <w:szCs w:val="24"/>
        </w:rPr>
        <w:t xml:space="preserve">current </w:t>
      </w:r>
      <w:r w:rsidR="003015A2">
        <w:rPr>
          <w:rFonts w:cs="Arial"/>
          <w:bCs/>
          <w:szCs w:val="24"/>
        </w:rPr>
        <w:t xml:space="preserve">LIBOR </w:t>
      </w:r>
      <w:r w:rsidR="000479FC">
        <w:rPr>
          <w:rFonts w:cs="Arial"/>
          <w:bCs/>
          <w:szCs w:val="24"/>
        </w:rPr>
        <w:t xml:space="preserve">rates as a </w:t>
      </w:r>
      <w:r w:rsidR="003015A2" w:rsidRPr="003015A2">
        <w:rPr>
          <w:rFonts w:cs="Arial"/>
          <w:bCs/>
          <w:szCs w:val="24"/>
        </w:rPr>
        <w:t>benchmark to assess the investment performance of its investment portfolio</w:t>
      </w:r>
      <w:r w:rsidR="000479FC">
        <w:rPr>
          <w:rFonts w:cs="Arial"/>
          <w:bCs/>
          <w:szCs w:val="24"/>
        </w:rPr>
        <w:t xml:space="preserve">. In addition the Council is a member of a </w:t>
      </w:r>
      <w:r w:rsidR="00631435">
        <w:rPr>
          <w:rFonts w:cs="Arial"/>
          <w:bCs/>
          <w:szCs w:val="24"/>
        </w:rPr>
        <w:t>Link Asset Services</w:t>
      </w:r>
      <w:r w:rsidR="000479FC">
        <w:rPr>
          <w:rFonts w:cs="Arial"/>
          <w:bCs/>
          <w:szCs w:val="24"/>
        </w:rPr>
        <w:t xml:space="preserve"> investment portfolio benchmarking group through which performance is measured against peer London authorities. The risk of default attached to the Council’s portfolio is reported by Capita on a monthly basis.</w:t>
      </w:r>
    </w:p>
    <w:p w:rsidR="00A017F5" w:rsidRPr="00A017F5" w:rsidRDefault="00A017F5" w:rsidP="00A017F5">
      <w:pPr>
        <w:spacing w:before="270" w:after="180"/>
        <w:ind w:left="360" w:hanging="360"/>
        <w:jc w:val="both"/>
        <w:rPr>
          <w:rFonts w:cs="Arial"/>
          <w:b/>
          <w:noProof/>
          <w:sz w:val="28"/>
          <w:szCs w:val="28"/>
        </w:rPr>
      </w:pPr>
      <w:r w:rsidRPr="00A017F5">
        <w:rPr>
          <w:rFonts w:cs="Arial"/>
          <w:b/>
          <w:noProof/>
          <w:sz w:val="28"/>
          <w:szCs w:val="28"/>
        </w:rPr>
        <w:t>4.</w:t>
      </w:r>
      <w:r>
        <w:rPr>
          <w:rFonts w:cs="Arial"/>
          <w:b/>
          <w:noProof/>
          <w:sz w:val="28"/>
          <w:szCs w:val="28"/>
        </w:rPr>
        <w:t>6</w:t>
      </w:r>
      <w:r w:rsidRPr="00A017F5">
        <w:rPr>
          <w:rFonts w:cs="Arial"/>
          <w:b/>
          <w:noProof/>
          <w:sz w:val="28"/>
          <w:szCs w:val="28"/>
        </w:rPr>
        <w:t xml:space="preserve"> </w:t>
      </w:r>
      <w:r>
        <w:rPr>
          <w:rFonts w:cs="Arial"/>
          <w:b/>
          <w:noProof/>
          <w:sz w:val="28"/>
          <w:szCs w:val="28"/>
        </w:rPr>
        <w:t>End of year investment report</w:t>
      </w:r>
    </w:p>
    <w:p w:rsidR="00A017F5" w:rsidRDefault="00A017F5" w:rsidP="00DA2B16">
      <w:pPr>
        <w:ind w:left="561" w:hanging="561"/>
        <w:jc w:val="both"/>
        <w:rPr>
          <w:rFonts w:cs="Arial"/>
          <w:b/>
          <w:bCs/>
          <w:color w:val="FF0000"/>
          <w:szCs w:val="24"/>
        </w:rPr>
      </w:pPr>
    </w:p>
    <w:p w:rsidR="00A017F5" w:rsidRPr="00A017F5" w:rsidRDefault="008C25BC" w:rsidP="00DA2B16">
      <w:pPr>
        <w:ind w:left="561" w:hanging="561"/>
        <w:jc w:val="both"/>
        <w:rPr>
          <w:rFonts w:cs="Arial"/>
          <w:bCs/>
          <w:szCs w:val="24"/>
        </w:rPr>
      </w:pPr>
      <w:r>
        <w:rPr>
          <w:rFonts w:cs="Arial"/>
          <w:bCs/>
          <w:szCs w:val="24"/>
        </w:rPr>
        <w:t>8</w:t>
      </w:r>
      <w:r w:rsidR="00165E08">
        <w:rPr>
          <w:rFonts w:cs="Arial"/>
          <w:bCs/>
          <w:szCs w:val="24"/>
        </w:rPr>
        <w:t>7</w:t>
      </w:r>
      <w:r w:rsidR="00A017F5" w:rsidRPr="00A017F5">
        <w:rPr>
          <w:rFonts w:cs="Arial"/>
          <w:bCs/>
          <w:szCs w:val="24"/>
        </w:rPr>
        <w:t>.</w:t>
      </w:r>
      <w:r w:rsidR="00CB1374">
        <w:rPr>
          <w:rFonts w:cs="Arial"/>
          <w:bCs/>
          <w:szCs w:val="24"/>
        </w:rPr>
        <w:tab/>
      </w:r>
      <w:r w:rsidR="00A017F5" w:rsidRPr="00A017F5">
        <w:rPr>
          <w:rFonts w:cs="Arial"/>
          <w:bCs/>
          <w:szCs w:val="24"/>
        </w:rPr>
        <w:t>At the end of the financial year the Council will report on its investment activity as part of the Treasury Management Outturn Report.</w:t>
      </w:r>
    </w:p>
    <w:p w:rsidR="00A017F5" w:rsidRPr="00A017F5" w:rsidRDefault="00A017F5" w:rsidP="00DA2B16">
      <w:pPr>
        <w:ind w:left="561" w:hanging="561"/>
        <w:jc w:val="both"/>
        <w:rPr>
          <w:rFonts w:cs="Arial"/>
          <w:b/>
          <w:bCs/>
          <w:szCs w:val="24"/>
        </w:rPr>
      </w:pPr>
    </w:p>
    <w:p w:rsidR="00B32254" w:rsidRDefault="00B32254">
      <w:pPr>
        <w:rPr>
          <w:rFonts w:cs="Arial"/>
          <w:b/>
          <w:bCs/>
          <w:sz w:val="32"/>
          <w:szCs w:val="32"/>
        </w:rPr>
      </w:pPr>
      <w:r>
        <w:rPr>
          <w:rFonts w:cs="Arial"/>
          <w:b/>
          <w:bCs/>
          <w:sz w:val="32"/>
          <w:szCs w:val="32"/>
        </w:rPr>
        <w:br w:type="page"/>
      </w:r>
    </w:p>
    <w:p w:rsidR="00F53D03" w:rsidRPr="00DB5459" w:rsidRDefault="00F53D03" w:rsidP="00DB5459">
      <w:pPr>
        <w:tabs>
          <w:tab w:val="left" w:pos="142"/>
        </w:tabs>
        <w:jc w:val="both"/>
        <w:rPr>
          <w:rFonts w:cs="Arial"/>
          <w:b/>
          <w:iCs/>
          <w:sz w:val="32"/>
          <w:szCs w:val="32"/>
        </w:rPr>
      </w:pPr>
      <w:r w:rsidRPr="00DB5459">
        <w:rPr>
          <w:rFonts w:cs="Arial"/>
          <w:b/>
          <w:bCs/>
          <w:sz w:val="32"/>
          <w:szCs w:val="32"/>
        </w:rPr>
        <w:lastRenderedPageBreak/>
        <w:t>5</w:t>
      </w:r>
      <w:r w:rsidR="008C25BC">
        <w:rPr>
          <w:rFonts w:cs="Arial"/>
          <w:b/>
          <w:bCs/>
          <w:sz w:val="32"/>
          <w:szCs w:val="32"/>
        </w:rPr>
        <w:t>.</w:t>
      </w:r>
      <w:r w:rsidR="005F4E5C">
        <w:rPr>
          <w:rFonts w:cs="Arial"/>
          <w:b/>
          <w:bCs/>
          <w:sz w:val="32"/>
          <w:szCs w:val="32"/>
        </w:rPr>
        <w:t xml:space="preserve"> </w:t>
      </w:r>
      <w:r w:rsidRPr="00DB5459">
        <w:rPr>
          <w:b/>
          <w:sz w:val="32"/>
          <w:szCs w:val="32"/>
        </w:rPr>
        <w:t>Affordability Prudential Indicators</w:t>
      </w:r>
    </w:p>
    <w:p w:rsidR="00F53D03" w:rsidRPr="00DB5459" w:rsidRDefault="00F53D03" w:rsidP="00F53D03">
      <w:pPr>
        <w:jc w:val="both"/>
        <w:rPr>
          <w:rFonts w:cs="Arial"/>
          <w:b/>
          <w:iCs/>
          <w:sz w:val="28"/>
          <w:szCs w:val="28"/>
        </w:rPr>
      </w:pPr>
    </w:p>
    <w:p w:rsidR="00F53D03" w:rsidRDefault="00165E08" w:rsidP="005F4E5C">
      <w:pPr>
        <w:spacing w:after="120"/>
        <w:ind w:left="567" w:hanging="567"/>
        <w:jc w:val="both"/>
        <w:rPr>
          <w:rFonts w:cs="Arial"/>
          <w:iCs/>
          <w:szCs w:val="24"/>
        </w:rPr>
      </w:pPr>
      <w:r>
        <w:rPr>
          <w:rFonts w:cs="Arial"/>
          <w:iCs/>
          <w:szCs w:val="24"/>
        </w:rPr>
        <w:t>88</w:t>
      </w:r>
      <w:r w:rsidR="00F53D03" w:rsidRPr="00633A34">
        <w:rPr>
          <w:rFonts w:cs="Arial"/>
          <w:iCs/>
          <w:szCs w:val="24"/>
        </w:rPr>
        <w:t>.</w:t>
      </w:r>
      <w:r w:rsidR="005F4E5C">
        <w:rPr>
          <w:rFonts w:cs="Arial"/>
          <w:iCs/>
          <w:szCs w:val="24"/>
        </w:rPr>
        <w:tab/>
      </w:r>
      <w:r w:rsidR="00F53D03" w:rsidRPr="00633A34">
        <w:rPr>
          <w:rFonts w:cs="Arial"/>
          <w:iCs/>
          <w:szCs w:val="24"/>
        </w:rPr>
        <w:t>The previous sections cover the overall capital and control of borrowing Prudential Indicators but within this framework Prudential Indicators are also required to assess the affordability of the capital investment programme. These provide an indication of the impact of the programme on the Council’s overall finances and a</w:t>
      </w:r>
      <w:r w:rsidR="000479FC">
        <w:rPr>
          <w:rFonts w:cs="Arial"/>
          <w:iCs/>
          <w:szCs w:val="24"/>
        </w:rPr>
        <w:t>re</w:t>
      </w:r>
      <w:r w:rsidR="00F53D03" w:rsidRPr="00633A34">
        <w:rPr>
          <w:rFonts w:cs="Arial"/>
          <w:iCs/>
          <w:szCs w:val="24"/>
        </w:rPr>
        <w:t xml:space="preserve"> shown in detail in Appendix </w:t>
      </w:r>
      <w:r w:rsidR="00007E2C">
        <w:rPr>
          <w:rFonts w:cs="Arial"/>
          <w:iCs/>
          <w:szCs w:val="24"/>
        </w:rPr>
        <w:t>G</w:t>
      </w:r>
      <w:r w:rsidR="00F53D03" w:rsidRPr="00633A34">
        <w:rPr>
          <w:rFonts w:cs="Arial"/>
          <w:iCs/>
          <w:szCs w:val="24"/>
        </w:rPr>
        <w:t>.</w:t>
      </w:r>
    </w:p>
    <w:p w:rsidR="001D7DC7" w:rsidRDefault="001D7DC7" w:rsidP="001D7DC7">
      <w:pPr>
        <w:tabs>
          <w:tab w:val="left" w:pos="0"/>
        </w:tabs>
        <w:rPr>
          <w:b/>
          <w:sz w:val="32"/>
          <w:szCs w:val="32"/>
          <w:lang w:val="en-US"/>
        </w:rPr>
      </w:pPr>
      <w:r>
        <w:rPr>
          <w:b/>
          <w:sz w:val="32"/>
          <w:szCs w:val="32"/>
          <w:lang w:val="en-US"/>
        </w:rPr>
        <w:t xml:space="preserve">6. </w:t>
      </w:r>
      <w:r w:rsidRPr="00633A34">
        <w:rPr>
          <w:b/>
          <w:sz w:val="32"/>
          <w:szCs w:val="32"/>
          <w:lang w:val="en-US"/>
        </w:rPr>
        <w:t>I</w:t>
      </w:r>
      <w:r>
        <w:rPr>
          <w:b/>
          <w:sz w:val="32"/>
          <w:szCs w:val="32"/>
          <w:lang w:val="en-US"/>
        </w:rPr>
        <w:t>mplications of the recommendations</w:t>
      </w:r>
    </w:p>
    <w:p w:rsidR="001D7DC7" w:rsidRDefault="001D7DC7" w:rsidP="001D7DC7">
      <w:pPr>
        <w:tabs>
          <w:tab w:val="left" w:pos="0"/>
        </w:tabs>
        <w:rPr>
          <w:b/>
          <w:sz w:val="32"/>
          <w:szCs w:val="32"/>
          <w:lang w:val="en-US"/>
        </w:rPr>
      </w:pPr>
    </w:p>
    <w:p w:rsidR="001D7DC7" w:rsidRPr="00633A34" w:rsidRDefault="00165E08" w:rsidP="001D7DC7">
      <w:pPr>
        <w:tabs>
          <w:tab w:val="left" w:pos="567"/>
        </w:tabs>
        <w:ind w:left="567" w:hanging="567"/>
        <w:jc w:val="both"/>
        <w:rPr>
          <w:szCs w:val="24"/>
          <w:lang w:val="en-US"/>
        </w:rPr>
      </w:pPr>
      <w:r>
        <w:rPr>
          <w:szCs w:val="24"/>
          <w:lang w:val="en-US"/>
        </w:rPr>
        <w:t>89</w:t>
      </w:r>
      <w:r w:rsidR="001D7DC7">
        <w:rPr>
          <w:szCs w:val="24"/>
          <w:lang w:val="en-US"/>
        </w:rPr>
        <w:tab/>
      </w:r>
      <w:r w:rsidR="001D7DC7" w:rsidRPr="00633A34">
        <w:rPr>
          <w:szCs w:val="24"/>
          <w:lang w:val="en-US"/>
        </w:rPr>
        <w:t>The recommendations primarily relate to the requirements for the Council to comply with statutory duties. However, the content of the report, covering borrowing and investment strategy, has implications for the Council’s ability to fund its capital projects and revenue activities.</w:t>
      </w:r>
    </w:p>
    <w:p w:rsidR="001D7DC7" w:rsidRPr="00633A34" w:rsidRDefault="001D7DC7" w:rsidP="001D7DC7">
      <w:pPr>
        <w:tabs>
          <w:tab w:val="left" w:pos="0"/>
        </w:tabs>
        <w:jc w:val="both"/>
        <w:rPr>
          <w:szCs w:val="24"/>
          <w:lang w:val="en-US"/>
        </w:rPr>
      </w:pPr>
    </w:p>
    <w:p w:rsidR="001D7DC7" w:rsidRPr="00633A34" w:rsidRDefault="001D7DC7" w:rsidP="00CC42F7">
      <w:pPr>
        <w:tabs>
          <w:tab w:val="left" w:pos="567"/>
        </w:tabs>
        <w:ind w:left="567" w:hanging="567"/>
        <w:rPr>
          <w:b/>
          <w:sz w:val="32"/>
          <w:szCs w:val="32"/>
          <w:lang w:val="en-US"/>
        </w:rPr>
      </w:pPr>
      <w:r w:rsidRPr="00633A34">
        <w:rPr>
          <w:szCs w:val="24"/>
          <w:lang w:val="en-US"/>
        </w:rPr>
        <w:t>9</w:t>
      </w:r>
      <w:r w:rsidR="00165E08">
        <w:rPr>
          <w:szCs w:val="24"/>
          <w:lang w:val="en-US"/>
        </w:rPr>
        <w:t>0</w:t>
      </w:r>
      <w:r w:rsidRPr="00633A34">
        <w:rPr>
          <w:szCs w:val="24"/>
          <w:lang w:val="en-US"/>
        </w:rPr>
        <w:t>.</w:t>
      </w:r>
      <w:r>
        <w:rPr>
          <w:szCs w:val="24"/>
          <w:lang w:val="en-US"/>
        </w:rPr>
        <w:tab/>
      </w:r>
      <w:r w:rsidRPr="00633A34">
        <w:rPr>
          <w:szCs w:val="24"/>
          <w:lang w:val="en-US"/>
        </w:rPr>
        <w:t>The recommendations do not directly affect the Council’</w:t>
      </w:r>
      <w:r>
        <w:rPr>
          <w:szCs w:val="24"/>
          <w:lang w:val="en-US"/>
        </w:rPr>
        <w:t>s</w:t>
      </w:r>
      <w:r w:rsidRPr="00633A34">
        <w:rPr>
          <w:szCs w:val="24"/>
          <w:lang w:val="en-US"/>
        </w:rPr>
        <w:t xml:space="preserve"> staffing/workforce.</w:t>
      </w:r>
    </w:p>
    <w:p w:rsidR="001D7DC7" w:rsidRDefault="001D7DC7" w:rsidP="001D7DC7">
      <w:pPr>
        <w:tabs>
          <w:tab w:val="left" w:pos="0"/>
        </w:tabs>
        <w:rPr>
          <w:b/>
          <w:sz w:val="32"/>
          <w:szCs w:val="32"/>
          <w:lang w:val="en-US"/>
        </w:rPr>
      </w:pPr>
    </w:p>
    <w:p w:rsidR="001D7DC7" w:rsidRPr="00633A34" w:rsidRDefault="001D7DC7" w:rsidP="001D7DC7">
      <w:pPr>
        <w:tabs>
          <w:tab w:val="left" w:pos="0"/>
        </w:tabs>
        <w:rPr>
          <w:b/>
          <w:sz w:val="32"/>
          <w:szCs w:val="32"/>
          <w:lang w:val="en-US"/>
        </w:rPr>
      </w:pPr>
      <w:r>
        <w:rPr>
          <w:b/>
          <w:sz w:val="32"/>
          <w:szCs w:val="32"/>
          <w:lang w:val="en-US"/>
        </w:rPr>
        <w:t>7.</w:t>
      </w:r>
      <w:r w:rsidRPr="00633A34">
        <w:rPr>
          <w:b/>
          <w:sz w:val="32"/>
          <w:szCs w:val="32"/>
          <w:lang w:val="en-US"/>
        </w:rPr>
        <w:t xml:space="preserve"> P</w:t>
      </w:r>
      <w:r>
        <w:rPr>
          <w:b/>
          <w:sz w:val="32"/>
          <w:szCs w:val="32"/>
          <w:lang w:val="en-US"/>
        </w:rPr>
        <w:t>erformance issues</w:t>
      </w:r>
    </w:p>
    <w:p w:rsidR="001D7DC7" w:rsidRDefault="001D7DC7" w:rsidP="005F4E5C">
      <w:pPr>
        <w:spacing w:after="120"/>
        <w:ind w:left="567" w:hanging="567"/>
        <w:jc w:val="both"/>
        <w:rPr>
          <w:rFonts w:cs="Arial"/>
          <w:iCs/>
          <w:szCs w:val="24"/>
        </w:rPr>
      </w:pPr>
    </w:p>
    <w:p w:rsidR="001D7DC7" w:rsidRPr="00633A34" w:rsidRDefault="001D7DC7" w:rsidP="001D7DC7">
      <w:pPr>
        <w:tabs>
          <w:tab w:val="left" w:pos="567"/>
        </w:tabs>
        <w:ind w:left="567" w:hanging="567"/>
        <w:jc w:val="both"/>
        <w:rPr>
          <w:szCs w:val="24"/>
          <w:lang w:val="en-US"/>
        </w:rPr>
      </w:pPr>
      <w:r w:rsidRPr="00633A34">
        <w:rPr>
          <w:szCs w:val="24"/>
          <w:lang w:val="en-US"/>
        </w:rPr>
        <w:t>9</w:t>
      </w:r>
      <w:r w:rsidR="00165E08">
        <w:rPr>
          <w:szCs w:val="24"/>
          <w:lang w:val="en-US"/>
        </w:rPr>
        <w:t>1</w:t>
      </w:r>
      <w:r w:rsidRPr="00633A34">
        <w:rPr>
          <w:szCs w:val="24"/>
          <w:lang w:val="en-US"/>
        </w:rPr>
        <w:t>.</w:t>
      </w:r>
      <w:r>
        <w:rPr>
          <w:szCs w:val="24"/>
          <w:lang w:val="en-US"/>
        </w:rPr>
        <w:tab/>
      </w:r>
      <w:r w:rsidRPr="00633A34">
        <w:rPr>
          <w:szCs w:val="24"/>
          <w:lang w:val="en-US"/>
        </w:rPr>
        <w:t>The Council meets the requirements of the CIPFA Treasury Management Code and, therefore, is able to demonstrate best practice for the Treasury Management function.</w:t>
      </w:r>
    </w:p>
    <w:p w:rsidR="001D7DC7" w:rsidRPr="00633A34" w:rsidRDefault="001D7DC7" w:rsidP="001D7DC7">
      <w:pPr>
        <w:tabs>
          <w:tab w:val="left" w:pos="0"/>
        </w:tabs>
        <w:jc w:val="both"/>
        <w:rPr>
          <w:szCs w:val="24"/>
          <w:lang w:val="en-US"/>
        </w:rPr>
      </w:pPr>
    </w:p>
    <w:p w:rsidR="001D7DC7" w:rsidRDefault="001D7DC7" w:rsidP="001D7DC7">
      <w:pPr>
        <w:spacing w:after="120"/>
        <w:ind w:left="567" w:hanging="567"/>
        <w:jc w:val="both"/>
        <w:rPr>
          <w:rFonts w:cs="Arial"/>
          <w:iCs/>
          <w:szCs w:val="24"/>
        </w:rPr>
      </w:pPr>
      <w:r w:rsidRPr="00633A34">
        <w:rPr>
          <w:szCs w:val="24"/>
          <w:lang w:val="en-US"/>
        </w:rPr>
        <w:t>9</w:t>
      </w:r>
      <w:r w:rsidR="00165E08">
        <w:rPr>
          <w:szCs w:val="24"/>
          <w:lang w:val="en-US"/>
        </w:rPr>
        <w:t>2</w:t>
      </w:r>
      <w:r w:rsidRPr="00633A34">
        <w:rPr>
          <w:szCs w:val="24"/>
          <w:lang w:val="en-US"/>
        </w:rPr>
        <w:t>.</w:t>
      </w:r>
      <w:r>
        <w:rPr>
          <w:szCs w:val="24"/>
          <w:lang w:val="en-US"/>
        </w:rPr>
        <w:tab/>
      </w:r>
      <w:r w:rsidRPr="00633A34">
        <w:rPr>
          <w:szCs w:val="24"/>
          <w:lang w:val="en-US"/>
        </w:rPr>
        <w:t>As part of the Code the Council must agree a series of prudential indicators and measure its performance against them. Success is measured by compliance with the indicators and the accuracy of future estimates so far as they are within the control of the Treasury Management function.</w:t>
      </w:r>
    </w:p>
    <w:p w:rsidR="001D7DC7" w:rsidRPr="00633A34" w:rsidRDefault="001D7DC7" w:rsidP="001D7DC7">
      <w:pPr>
        <w:tabs>
          <w:tab w:val="left" w:pos="0"/>
        </w:tabs>
        <w:rPr>
          <w:b/>
          <w:sz w:val="32"/>
          <w:szCs w:val="32"/>
          <w:lang w:val="en-US"/>
        </w:rPr>
      </w:pPr>
      <w:r>
        <w:rPr>
          <w:b/>
          <w:sz w:val="32"/>
          <w:szCs w:val="32"/>
          <w:lang w:val="en-US"/>
        </w:rPr>
        <w:t>8.</w:t>
      </w:r>
      <w:r w:rsidRPr="00633A34">
        <w:rPr>
          <w:b/>
          <w:sz w:val="32"/>
          <w:szCs w:val="32"/>
          <w:lang w:val="en-US"/>
        </w:rPr>
        <w:t xml:space="preserve"> </w:t>
      </w:r>
      <w:r>
        <w:rPr>
          <w:b/>
          <w:sz w:val="32"/>
          <w:szCs w:val="32"/>
          <w:lang w:val="en-US"/>
        </w:rPr>
        <w:t>Environmental implications</w:t>
      </w:r>
    </w:p>
    <w:p w:rsidR="001D7DC7" w:rsidRPr="00633A34" w:rsidRDefault="001D7DC7" w:rsidP="001D7DC7">
      <w:pPr>
        <w:tabs>
          <w:tab w:val="left" w:pos="0"/>
        </w:tabs>
        <w:rPr>
          <w:b/>
          <w:sz w:val="32"/>
          <w:szCs w:val="32"/>
          <w:lang w:val="en-US"/>
        </w:rPr>
      </w:pPr>
    </w:p>
    <w:p w:rsidR="001D7DC7" w:rsidRPr="00633A34" w:rsidRDefault="001D7DC7" w:rsidP="001D7DC7">
      <w:pPr>
        <w:tabs>
          <w:tab w:val="left" w:pos="567"/>
        </w:tabs>
        <w:ind w:left="567" w:hanging="567"/>
        <w:rPr>
          <w:szCs w:val="24"/>
          <w:lang w:val="en-US"/>
        </w:rPr>
      </w:pPr>
      <w:r w:rsidRPr="00633A34">
        <w:rPr>
          <w:szCs w:val="24"/>
          <w:lang w:val="en-US"/>
        </w:rPr>
        <w:t>9</w:t>
      </w:r>
      <w:r w:rsidR="00165E08">
        <w:rPr>
          <w:szCs w:val="24"/>
          <w:lang w:val="en-US"/>
        </w:rPr>
        <w:t>3</w:t>
      </w:r>
      <w:r w:rsidRPr="00633A34">
        <w:rPr>
          <w:szCs w:val="24"/>
          <w:lang w:val="en-US"/>
        </w:rPr>
        <w:t>.</w:t>
      </w:r>
      <w:r>
        <w:rPr>
          <w:szCs w:val="24"/>
          <w:lang w:val="en-US"/>
        </w:rPr>
        <w:tab/>
      </w:r>
      <w:r w:rsidRPr="00633A34">
        <w:rPr>
          <w:szCs w:val="24"/>
          <w:lang w:val="en-US"/>
        </w:rPr>
        <w:t>There are no direct environmental implications.</w:t>
      </w:r>
    </w:p>
    <w:p w:rsidR="001D7DC7" w:rsidRDefault="001D7DC7" w:rsidP="001D7DC7">
      <w:pPr>
        <w:tabs>
          <w:tab w:val="left" w:pos="0"/>
        </w:tabs>
        <w:rPr>
          <w:b/>
          <w:sz w:val="32"/>
          <w:szCs w:val="32"/>
          <w:lang w:val="en-US"/>
        </w:rPr>
      </w:pPr>
    </w:p>
    <w:p w:rsidR="001D7DC7" w:rsidRDefault="001D7DC7" w:rsidP="001D7DC7">
      <w:pPr>
        <w:tabs>
          <w:tab w:val="left" w:pos="0"/>
        </w:tabs>
        <w:rPr>
          <w:b/>
          <w:sz w:val="32"/>
          <w:szCs w:val="32"/>
          <w:lang w:val="en-US"/>
        </w:rPr>
      </w:pPr>
      <w:r>
        <w:rPr>
          <w:b/>
          <w:sz w:val="32"/>
          <w:szCs w:val="32"/>
          <w:lang w:val="en-US"/>
        </w:rPr>
        <w:t>9.</w:t>
      </w:r>
      <w:r w:rsidRPr="00633A34">
        <w:rPr>
          <w:b/>
          <w:sz w:val="32"/>
          <w:szCs w:val="32"/>
          <w:lang w:val="en-US"/>
        </w:rPr>
        <w:t xml:space="preserve"> R</w:t>
      </w:r>
      <w:r>
        <w:rPr>
          <w:b/>
          <w:sz w:val="32"/>
          <w:szCs w:val="32"/>
          <w:lang w:val="en-US"/>
        </w:rPr>
        <w:t>isk management implications</w:t>
      </w:r>
    </w:p>
    <w:p w:rsidR="001D7DC7" w:rsidRPr="00633A34" w:rsidRDefault="001D7DC7" w:rsidP="001D7DC7">
      <w:pPr>
        <w:tabs>
          <w:tab w:val="left" w:pos="0"/>
        </w:tabs>
        <w:rPr>
          <w:b/>
          <w:sz w:val="32"/>
          <w:szCs w:val="32"/>
          <w:lang w:val="en-US"/>
        </w:rPr>
      </w:pPr>
    </w:p>
    <w:p w:rsidR="001D7DC7" w:rsidRPr="00633A34" w:rsidRDefault="001D7DC7" w:rsidP="001D7DC7">
      <w:pPr>
        <w:tabs>
          <w:tab w:val="left" w:pos="567"/>
        </w:tabs>
        <w:ind w:left="567" w:hanging="567"/>
        <w:jc w:val="both"/>
        <w:rPr>
          <w:szCs w:val="24"/>
          <w:lang w:val="en-US"/>
        </w:rPr>
      </w:pPr>
      <w:r w:rsidRPr="00633A34">
        <w:rPr>
          <w:szCs w:val="24"/>
          <w:lang w:val="en-US"/>
        </w:rPr>
        <w:t>9</w:t>
      </w:r>
      <w:r w:rsidR="00165E08">
        <w:rPr>
          <w:szCs w:val="24"/>
          <w:lang w:val="en-US"/>
        </w:rPr>
        <w:t>4</w:t>
      </w:r>
      <w:r w:rsidRPr="00633A34">
        <w:rPr>
          <w:szCs w:val="24"/>
          <w:lang w:val="en-US"/>
        </w:rPr>
        <w:t>.</w:t>
      </w:r>
      <w:r>
        <w:rPr>
          <w:szCs w:val="24"/>
          <w:lang w:val="en-US"/>
        </w:rPr>
        <w:tab/>
      </w:r>
      <w:r w:rsidRPr="00633A34">
        <w:rPr>
          <w:szCs w:val="24"/>
          <w:lang w:val="en-US"/>
        </w:rPr>
        <w:t>The identification, monitoring and control of risk are central to the achievement of treasury management objectives and to this report. Potential risks are identified, mitigated and monitored in accordance with Treasury Management Practice Notes approved by the Treasury Management Group.</w:t>
      </w:r>
    </w:p>
    <w:p w:rsidR="001D7DC7" w:rsidRPr="00633A34" w:rsidRDefault="001D7DC7" w:rsidP="001D7DC7">
      <w:pPr>
        <w:tabs>
          <w:tab w:val="left" w:pos="567"/>
        </w:tabs>
        <w:ind w:left="567" w:hanging="567"/>
        <w:jc w:val="both"/>
        <w:rPr>
          <w:szCs w:val="24"/>
          <w:lang w:val="en-US"/>
        </w:rPr>
      </w:pPr>
    </w:p>
    <w:p w:rsidR="001D7DC7" w:rsidRPr="00633A34" w:rsidRDefault="001D7DC7" w:rsidP="001D7DC7">
      <w:pPr>
        <w:tabs>
          <w:tab w:val="left" w:pos="567"/>
        </w:tabs>
        <w:ind w:left="567" w:hanging="567"/>
        <w:rPr>
          <w:szCs w:val="24"/>
          <w:lang w:val="en-US"/>
        </w:rPr>
      </w:pPr>
      <w:r w:rsidRPr="00633A34">
        <w:rPr>
          <w:szCs w:val="24"/>
          <w:lang w:val="en-US"/>
        </w:rPr>
        <w:t>9</w:t>
      </w:r>
      <w:r w:rsidR="00165E08">
        <w:rPr>
          <w:szCs w:val="24"/>
          <w:lang w:val="en-US"/>
        </w:rPr>
        <w:t>5</w:t>
      </w:r>
      <w:r w:rsidRPr="00633A34">
        <w:rPr>
          <w:szCs w:val="24"/>
          <w:lang w:val="en-US"/>
        </w:rPr>
        <w:t>.</w:t>
      </w:r>
      <w:r>
        <w:rPr>
          <w:szCs w:val="24"/>
          <w:lang w:val="en-US"/>
        </w:rPr>
        <w:tab/>
      </w:r>
      <w:r w:rsidRPr="00633A34">
        <w:rPr>
          <w:szCs w:val="24"/>
          <w:lang w:val="en-US"/>
        </w:rPr>
        <w:t xml:space="preserve">Risks are included in the Directorate Risk Register. </w:t>
      </w:r>
    </w:p>
    <w:p w:rsidR="001D7DC7" w:rsidRPr="00633A34" w:rsidRDefault="001D7DC7" w:rsidP="005F4E5C">
      <w:pPr>
        <w:spacing w:after="120"/>
        <w:ind w:left="567" w:hanging="567"/>
        <w:jc w:val="both"/>
        <w:rPr>
          <w:rFonts w:cs="Arial"/>
          <w:iCs/>
          <w:szCs w:val="24"/>
        </w:rPr>
      </w:pPr>
    </w:p>
    <w:p w:rsidR="00DA2B16" w:rsidRDefault="001D7DC7" w:rsidP="00DA2B16">
      <w:pPr>
        <w:tabs>
          <w:tab w:val="left" w:pos="0"/>
        </w:tabs>
        <w:rPr>
          <w:b/>
          <w:sz w:val="32"/>
          <w:szCs w:val="32"/>
          <w:lang w:val="en-US"/>
        </w:rPr>
      </w:pPr>
      <w:r>
        <w:rPr>
          <w:b/>
          <w:sz w:val="32"/>
          <w:szCs w:val="32"/>
          <w:lang w:val="en-US"/>
        </w:rPr>
        <w:t>10</w:t>
      </w:r>
      <w:r w:rsidR="008C25BC">
        <w:rPr>
          <w:b/>
          <w:sz w:val="32"/>
          <w:szCs w:val="32"/>
          <w:lang w:val="en-US"/>
        </w:rPr>
        <w:t>.</w:t>
      </w:r>
      <w:r w:rsidR="005F4E5C">
        <w:rPr>
          <w:b/>
          <w:sz w:val="32"/>
          <w:szCs w:val="32"/>
          <w:lang w:val="en-US"/>
        </w:rPr>
        <w:t xml:space="preserve"> </w:t>
      </w:r>
      <w:r w:rsidR="00D61903">
        <w:rPr>
          <w:b/>
          <w:sz w:val="32"/>
          <w:szCs w:val="32"/>
          <w:lang w:val="en-US"/>
        </w:rPr>
        <w:t xml:space="preserve">Legal </w:t>
      </w:r>
      <w:r w:rsidR="00DA2B16" w:rsidRPr="00633A34">
        <w:rPr>
          <w:b/>
          <w:sz w:val="32"/>
          <w:szCs w:val="32"/>
          <w:lang w:val="en-US"/>
        </w:rPr>
        <w:t>I</w:t>
      </w:r>
      <w:r w:rsidR="00DB5459">
        <w:rPr>
          <w:b/>
          <w:sz w:val="32"/>
          <w:szCs w:val="32"/>
          <w:lang w:val="en-US"/>
        </w:rPr>
        <w:t xml:space="preserve">mplications </w:t>
      </w:r>
    </w:p>
    <w:p w:rsidR="00DB5459" w:rsidRPr="00633A34" w:rsidRDefault="00DB5459" w:rsidP="00DA2B16">
      <w:pPr>
        <w:tabs>
          <w:tab w:val="left" w:pos="0"/>
        </w:tabs>
        <w:rPr>
          <w:b/>
          <w:sz w:val="32"/>
          <w:szCs w:val="32"/>
          <w:lang w:val="en-US"/>
        </w:rPr>
      </w:pPr>
    </w:p>
    <w:p w:rsidR="00DA2B16" w:rsidRDefault="001D7DC7" w:rsidP="00D61903">
      <w:pPr>
        <w:tabs>
          <w:tab w:val="left" w:pos="567"/>
        </w:tabs>
        <w:ind w:left="567" w:hanging="567"/>
        <w:jc w:val="both"/>
        <w:rPr>
          <w:szCs w:val="24"/>
          <w:lang w:val="en-US"/>
        </w:rPr>
      </w:pPr>
      <w:r>
        <w:rPr>
          <w:szCs w:val="24"/>
          <w:lang w:val="en-US"/>
        </w:rPr>
        <w:t>9</w:t>
      </w:r>
      <w:r w:rsidR="00165E08">
        <w:rPr>
          <w:szCs w:val="24"/>
          <w:lang w:val="en-US"/>
        </w:rPr>
        <w:t>6</w:t>
      </w:r>
      <w:r w:rsidR="00DA2B16" w:rsidRPr="00633A34">
        <w:rPr>
          <w:szCs w:val="24"/>
          <w:lang w:val="en-US"/>
        </w:rPr>
        <w:t>.</w:t>
      </w:r>
      <w:r w:rsidR="005F4E5C">
        <w:rPr>
          <w:szCs w:val="24"/>
          <w:lang w:val="en-US"/>
        </w:rPr>
        <w:tab/>
      </w:r>
      <w:r w:rsidR="00DA2B16" w:rsidRPr="00633A34">
        <w:rPr>
          <w:szCs w:val="24"/>
          <w:lang w:val="en-US"/>
        </w:rPr>
        <w:t xml:space="preserve">The </w:t>
      </w:r>
      <w:r w:rsidR="00D61903">
        <w:rPr>
          <w:szCs w:val="24"/>
          <w:lang w:val="en-US"/>
        </w:rPr>
        <w:t>purpose of this report is to comply with the Local Authorities (Capital Finance and Accounting) (England) Regulations 2003 and other relevant guidance referred to in the report.</w:t>
      </w:r>
    </w:p>
    <w:p w:rsidR="00D61903" w:rsidRPr="00633A34" w:rsidRDefault="001D7DC7" w:rsidP="00D61903">
      <w:pPr>
        <w:rPr>
          <w:b/>
          <w:sz w:val="32"/>
          <w:szCs w:val="32"/>
          <w:lang w:val="en-US"/>
        </w:rPr>
      </w:pPr>
      <w:r>
        <w:rPr>
          <w:b/>
          <w:sz w:val="32"/>
          <w:szCs w:val="32"/>
          <w:lang w:val="en-US"/>
        </w:rPr>
        <w:lastRenderedPageBreak/>
        <w:t>11</w:t>
      </w:r>
      <w:r w:rsidR="00D61903">
        <w:rPr>
          <w:b/>
          <w:sz w:val="32"/>
          <w:szCs w:val="32"/>
          <w:lang w:val="en-US"/>
        </w:rPr>
        <w:t xml:space="preserve">. </w:t>
      </w:r>
      <w:r w:rsidR="00D61903" w:rsidRPr="00633A34">
        <w:rPr>
          <w:b/>
          <w:sz w:val="32"/>
          <w:szCs w:val="32"/>
          <w:lang w:val="en-US"/>
        </w:rPr>
        <w:t>F</w:t>
      </w:r>
      <w:r w:rsidR="00D61903">
        <w:rPr>
          <w:b/>
          <w:sz w:val="32"/>
          <w:szCs w:val="32"/>
          <w:lang w:val="en-US"/>
        </w:rPr>
        <w:t>inancial implications</w:t>
      </w:r>
    </w:p>
    <w:p w:rsidR="00D61903" w:rsidRPr="00633A34" w:rsidRDefault="00D61903" w:rsidP="00D61903">
      <w:pPr>
        <w:jc w:val="both"/>
        <w:rPr>
          <w:rFonts w:cs="Arial"/>
          <w:bCs/>
          <w:lang w:val="en-US"/>
        </w:rPr>
      </w:pPr>
    </w:p>
    <w:p w:rsidR="00D61903" w:rsidRPr="00633A34" w:rsidRDefault="001D7DC7" w:rsidP="00D61903">
      <w:pPr>
        <w:ind w:left="567" w:hanging="567"/>
        <w:jc w:val="both"/>
        <w:rPr>
          <w:rFonts w:cs="Arial"/>
          <w:bCs/>
          <w:szCs w:val="24"/>
          <w:lang w:val="en-US"/>
        </w:rPr>
      </w:pPr>
      <w:r>
        <w:rPr>
          <w:rFonts w:cs="Arial"/>
          <w:bCs/>
        </w:rPr>
        <w:t>9</w:t>
      </w:r>
      <w:r w:rsidR="00165E08">
        <w:rPr>
          <w:rFonts w:cs="Arial"/>
          <w:bCs/>
        </w:rPr>
        <w:t>7</w:t>
      </w:r>
      <w:r w:rsidR="00D61903" w:rsidRPr="00633A34">
        <w:rPr>
          <w:rFonts w:cs="Arial"/>
          <w:bCs/>
        </w:rPr>
        <w:t>.</w:t>
      </w:r>
      <w:r w:rsidR="00D61903">
        <w:rPr>
          <w:rFonts w:cs="Arial"/>
          <w:bCs/>
        </w:rPr>
        <w:tab/>
      </w:r>
      <w:r w:rsidR="00D61903" w:rsidRPr="00633A34">
        <w:rPr>
          <w:rFonts w:cs="Arial"/>
          <w:bCs/>
        </w:rPr>
        <w:t>Financial matters are integral to the report.</w:t>
      </w:r>
    </w:p>
    <w:p w:rsidR="00D61903" w:rsidRPr="00633A34" w:rsidRDefault="00D61903" w:rsidP="00D61903">
      <w:pPr>
        <w:tabs>
          <w:tab w:val="left" w:pos="567"/>
        </w:tabs>
        <w:ind w:left="567" w:hanging="567"/>
        <w:jc w:val="both"/>
        <w:rPr>
          <w:b/>
          <w:sz w:val="32"/>
          <w:szCs w:val="32"/>
          <w:lang w:val="en-US"/>
        </w:rPr>
      </w:pPr>
    </w:p>
    <w:p w:rsidR="00DA2B16" w:rsidRPr="00633A34" w:rsidRDefault="000450CA" w:rsidP="00D23AE5">
      <w:pPr>
        <w:rPr>
          <w:b/>
          <w:sz w:val="32"/>
          <w:szCs w:val="32"/>
        </w:rPr>
      </w:pPr>
      <w:r>
        <w:rPr>
          <w:b/>
          <w:sz w:val="32"/>
          <w:szCs w:val="32"/>
        </w:rPr>
        <w:t>12</w:t>
      </w:r>
      <w:r w:rsidR="008C25BC">
        <w:rPr>
          <w:b/>
          <w:sz w:val="32"/>
          <w:szCs w:val="32"/>
        </w:rPr>
        <w:t>.</w:t>
      </w:r>
      <w:r w:rsidR="00D23AE5">
        <w:rPr>
          <w:b/>
          <w:sz w:val="32"/>
          <w:szCs w:val="32"/>
        </w:rPr>
        <w:t xml:space="preserve"> </w:t>
      </w:r>
      <w:r w:rsidR="00DA2B16" w:rsidRPr="00633A34">
        <w:rPr>
          <w:b/>
          <w:sz w:val="32"/>
          <w:szCs w:val="32"/>
        </w:rPr>
        <w:t>E</w:t>
      </w:r>
      <w:r w:rsidR="00DB5459">
        <w:rPr>
          <w:b/>
          <w:sz w:val="32"/>
          <w:szCs w:val="32"/>
        </w:rPr>
        <w:t>qualities implications</w:t>
      </w:r>
      <w:r w:rsidR="001D7DC7">
        <w:rPr>
          <w:b/>
          <w:sz w:val="32"/>
          <w:szCs w:val="32"/>
        </w:rPr>
        <w:t xml:space="preserve"> / Public sector equality duty</w:t>
      </w:r>
      <w:r w:rsidR="00DB5459">
        <w:rPr>
          <w:b/>
          <w:sz w:val="32"/>
          <w:szCs w:val="32"/>
        </w:rPr>
        <w:t xml:space="preserve"> </w:t>
      </w:r>
    </w:p>
    <w:p w:rsidR="00DA2B16" w:rsidRPr="00633A34" w:rsidRDefault="00DA2B16" w:rsidP="00DA2B16">
      <w:pPr>
        <w:jc w:val="both"/>
        <w:rPr>
          <w:rFonts w:cs="Tahoma"/>
          <w:bCs/>
          <w:szCs w:val="16"/>
        </w:rPr>
      </w:pPr>
    </w:p>
    <w:p w:rsidR="00DA2B16" w:rsidRPr="00633A34" w:rsidRDefault="00165E08" w:rsidP="00D23AE5">
      <w:pPr>
        <w:ind w:left="561" w:hanging="561"/>
        <w:jc w:val="both"/>
        <w:rPr>
          <w:rFonts w:cs="Tahoma"/>
          <w:bCs/>
          <w:szCs w:val="16"/>
        </w:rPr>
      </w:pPr>
      <w:r>
        <w:rPr>
          <w:rFonts w:cs="Arial"/>
          <w:bCs/>
        </w:rPr>
        <w:t>98</w:t>
      </w:r>
      <w:r w:rsidR="00532D5D">
        <w:rPr>
          <w:rFonts w:cs="Arial"/>
          <w:bCs/>
        </w:rPr>
        <w:t>.</w:t>
      </w:r>
      <w:r w:rsidR="00D23AE5">
        <w:rPr>
          <w:rFonts w:cs="Arial"/>
          <w:bCs/>
        </w:rPr>
        <w:tab/>
      </w:r>
      <w:r w:rsidR="00DA2B16" w:rsidRPr="00633A34">
        <w:rPr>
          <w:rFonts w:cs="Arial"/>
          <w:bCs/>
        </w:rPr>
        <w:t>O</w:t>
      </w:r>
      <w:r w:rsidR="00DA2B16" w:rsidRPr="00633A34">
        <w:rPr>
          <w:rFonts w:cs="Arial"/>
          <w:bCs/>
          <w:lang w:eastAsia="en-GB"/>
        </w:rPr>
        <w:t>fficers have considered possible equalities impact and consider that there is no adverse equalities impact as there is no direct impact on individuals</w:t>
      </w:r>
    </w:p>
    <w:p w:rsidR="00DA2B16" w:rsidRPr="00633A34" w:rsidRDefault="00DA2B16" w:rsidP="00D23AE5">
      <w:pPr>
        <w:ind w:left="561" w:hanging="561"/>
        <w:jc w:val="both"/>
        <w:rPr>
          <w:b/>
          <w:szCs w:val="24"/>
        </w:rPr>
      </w:pPr>
    </w:p>
    <w:p w:rsidR="00DA2B16" w:rsidRPr="00633A34" w:rsidRDefault="00D23AE5" w:rsidP="00D23AE5">
      <w:pPr>
        <w:rPr>
          <w:b/>
          <w:sz w:val="32"/>
          <w:szCs w:val="32"/>
        </w:rPr>
      </w:pPr>
      <w:r>
        <w:rPr>
          <w:b/>
          <w:sz w:val="32"/>
          <w:szCs w:val="32"/>
        </w:rPr>
        <w:t>1</w:t>
      </w:r>
      <w:r w:rsidR="000450CA">
        <w:rPr>
          <w:b/>
          <w:sz w:val="32"/>
          <w:szCs w:val="32"/>
        </w:rPr>
        <w:t>3</w:t>
      </w:r>
      <w:r w:rsidR="008C25BC">
        <w:rPr>
          <w:b/>
          <w:sz w:val="32"/>
          <w:szCs w:val="32"/>
        </w:rPr>
        <w:t>.</w:t>
      </w:r>
      <w:r>
        <w:rPr>
          <w:b/>
          <w:sz w:val="32"/>
          <w:szCs w:val="32"/>
        </w:rPr>
        <w:t xml:space="preserve"> </w:t>
      </w:r>
      <w:r w:rsidR="00DA2B16" w:rsidRPr="00633A34">
        <w:rPr>
          <w:b/>
          <w:sz w:val="32"/>
          <w:szCs w:val="32"/>
        </w:rPr>
        <w:t>C</w:t>
      </w:r>
      <w:r w:rsidR="00DB5459">
        <w:rPr>
          <w:b/>
          <w:sz w:val="32"/>
          <w:szCs w:val="32"/>
        </w:rPr>
        <w:t>o</w:t>
      </w:r>
      <w:r w:rsidR="001D7DC7">
        <w:rPr>
          <w:b/>
          <w:sz w:val="32"/>
          <w:szCs w:val="32"/>
        </w:rPr>
        <w:t>uncil</w:t>
      </w:r>
      <w:r w:rsidR="00DB5459">
        <w:rPr>
          <w:b/>
          <w:sz w:val="32"/>
          <w:szCs w:val="32"/>
        </w:rPr>
        <w:t xml:space="preserve"> priorities</w:t>
      </w:r>
    </w:p>
    <w:p w:rsidR="00DA2B16" w:rsidRPr="00633A34" w:rsidRDefault="00DA2B16" w:rsidP="00DA2B16">
      <w:pPr>
        <w:jc w:val="both"/>
        <w:rPr>
          <w:rFonts w:cs="Tahoma"/>
          <w:bCs/>
          <w:szCs w:val="16"/>
        </w:rPr>
      </w:pPr>
    </w:p>
    <w:p w:rsidR="00DA2B16" w:rsidRPr="00633A34" w:rsidRDefault="00165E08" w:rsidP="00D23AE5">
      <w:pPr>
        <w:ind w:left="567" w:hanging="567"/>
      </w:pPr>
      <w:bookmarkStart w:id="12" w:name="LastEdit"/>
      <w:bookmarkEnd w:id="12"/>
      <w:r>
        <w:t>99</w:t>
      </w:r>
      <w:r w:rsidR="00DA2B16" w:rsidRPr="00633A34">
        <w:t>.</w:t>
      </w:r>
      <w:r w:rsidR="00D23AE5">
        <w:tab/>
      </w:r>
      <w:r w:rsidR="00DA2B16" w:rsidRPr="00633A34">
        <w:t>This report deals with the Treasury Management Strategy which plays a significant part in supporting the delivery of all the Council’s corporate priorities.</w:t>
      </w:r>
    </w:p>
    <w:p w:rsidR="00DA2B16" w:rsidRPr="00DA2B16" w:rsidRDefault="00DA2B16" w:rsidP="00DA2B16">
      <w:pPr>
        <w:keepNext/>
        <w:outlineLvl w:val="0"/>
        <w:rPr>
          <w:rFonts w:ascii="Arial Black" w:hAnsi="Arial Black" w:cs="Arial"/>
          <w:b/>
          <w:bCs/>
          <w:sz w:val="36"/>
          <w:szCs w:val="36"/>
        </w:rPr>
      </w:pPr>
      <w:r w:rsidRPr="00633A34">
        <w:rPr>
          <w:rFonts w:ascii="Arial Black" w:hAnsi="Arial Black" w:cs="Arial"/>
          <w:b/>
          <w:bCs/>
          <w:sz w:val="36"/>
          <w:szCs w:val="36"/>
        </w:rPr>
        <w:t>Section 3 - Statutory Officer Clearance</w:t>
      </w:r>
    </w:p>
    <w:p w:rsidR="00DA2B16" w:rsidRPr="00DA2B16" w:rsidRDefault="00DA2B16" w:rsidP="00DA2B1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4"/>
        <w:gridCol w:w="403"/>
        <w:gridCol w:w="222"/>
        <w:gridCol w:w="3196"/>
      </w:tblGrid>
      <w:tr w:rsidR="00DA2B16" w:rsidRPr="00DA2B16" w:rsidTr="005C387C">
        <w:tc>
          <w:tcPr>
            <w:tcW w:w="2791" w:type="pct"/>
            <w:tcBorders>
              <w:bottom w:val="nil"/>
              <w:right w:val="nil"/>
            </w:tcBorders>
          </w:tcPr>
          <w:p w:rsidR="00DA2B16" w:rsidRPr="00DA2B16" w:rsidRDefault="00DA2B16" w:rsidP="00DA2B16">
            <w:pPr>
              <w:rPr>
                <w:sz w:val="28"/>
              </w:rPr>
            </w:pPr>
          </w:p>
          <w:p w:rsidR="00DA2B16" w:rsidRPr="00DA2B16" w:rsidRDefault="00DA2B16" w:rsidP="00DA2B16">
            <w:pPr>
              <w:rPr>
                <w:sz w:val="28"/>
              </w:rPr>
            </w:pPr>
          </w:p>
        </w:tc>
        <w:tc>
          <w:tcPr>
            <w:tcW w:w="138" w:type="pct"/>
            <w:tcBorders>
              <w:left w:val="nil"/>
              <w:right w:val="nil"/>
            </w:tcBorders>
          </w:tcPr>
          <w:p w:rsidR="00DA2B16" w:rsidRPr="00DA2B16" w:rsidRDefault="00DA2B16" w:rsidP="00DA2B16">
            <w:pPr>
              <w:rPr>
                <w:sz w:val="28"/>
              </w:rPr>
            </w:pPr>
          </w:p>
        </w:tc>
        <w:tc>
          <w:tcPr>
            <w:tcW w:w="138" w:type="pct"/>
            <w:tcBorders>
              <w:left w:val="nil"/>
              <w:bottom w:val="nil"/>
              <w:right w:val="nil"/>
            </w:tcBorders>
          </w:tcPr>
          <w:p w:rsidR="00DA2B16" w:rsidRPr="00DA2B16" w:rsidRDefault="00DA2B16" w:rsidP="00DA2B16">
            <w:pPr>
              <w:rPr>
                <w:sz w:val="28"/>
              </w:rPr>
            </w:pPr>
          </w:p>
        </w:tc>
        <w:tc>
          <w:tcPr>
            <w:tcW w:w="1932" w:type="pct"/>
            <w:tcBorders>
              <w:left w:val="nil"/>
              <w:bottom w:val="nil"/>
            </w:tcBorders>
          </w:tcPr>
          <w:p w:rsidR="00DA2B16" w:rsidRPr="00DA2B16" w:rsidRDefault="00DA2B16" w:rsidP="00DA2B16">
            <w:pPr>
              <w:rPr>
                <w:sz w:val="28"/>
              </w:rPr>
            </w:pPr>
          </w:p>
          <w:p w:rsidR="00DA2B16" w:rsidRPr="00DA2B16" w:rsidRDefault="00DA2B16" w:rsidP="00DA2B16">
            <w:pPr>
              <w:rPr>
                <w:sz w:val="28"/>
              </w:rPr>
            </w:pPr>
          </w:p>
        </w:tc>
      </w:tr>
      <w:tr w:rsidR="00DA2B16" w:rsidRPr="00DA2B16" w:rsidTr="005C387C">
        <w:tc>
          <w:tcPr>
            <w:tcW w:w="2791" w:type="pct"/>
            <w:tcBorders>
              <w:top w:val="nil"/>
              <w:bottom w:val="nil"/>
            </w:tcBorders>
          </w:tcPr>
          <w:p w:rsidR="00DA2B16" w:rsidRPr="00633A34" w:rsidRDefault="00DA2B16" w:rsidP="00DA2B16">
            <w:pPr>
              <w:rPr>
                <w:sz w:val="28"/>
              </w:rPr>
            </w:pPr>
            <w:r w:rsidRPr="00633A34">
              <w:rPr>
                <w:sz w:val="28"/>
              </w:rPr>
              <w:t>Name: Dawn Calvert</w:t>
            </w:r>
          </w:p>
        </w:tc>
        <w:tc>
          <w:tcPr>
            <w:tcW w:w="138" w:type="pct"/>
            <w:tcBorders>
              <w:bottom w:val="single" w:sz="4" w:space="0" w:color="auto"/>
            </w:tcBorders>
          </w:tcPr>
          <w:p w:rsidR="00DA2B16" w:rsidRPr="00633A34" w:rsidRDefault="00B93CA0" w:rsidP="00DA2B16">
            <w:pPr>
              <w:rPr>
                <w:sz w:val="28"/>
              </w:rPr>
            </w:pPr>
            <w:r>
              <w:rPr>
                <w:sz w:val="28"/>
              </w:rPr>
              <w:t>X</w:t>
            </w:r>
          </w:p>
        </w:tc>
        <w:tc>
          <w:tcPr>
            <w:tcW w:w="138" w:type="pct"/>
            <w:tcBorders>
              <w:top w:val="nil"/>
              <w:bottom w:val="nil"/>
              <w:right w:val="nil"/>
            </w:tcBorders>
          </w:tcPr>
          <w:p w:rsidR="00DA2B16" w:rsidRPr="00633A34" w:rsidRDefault="00DA2B16" w:rsidP="00DA2B16">
            <w:pPr>
              <w:rPr>
                <w:sz w:val="28"/>
              </w:rPr>
            </w:pPr>
          </w:p>
        </w:tc>
        <w:tc>
          <w:tcPr>
            <w:tcW w:w="1932" w:type="pct"/>
            <w:tcBorders>
              <w:top w:val="nil"/>
              <w:left w:val="nil"/>
              <w:bottom w:val="nil"/>
            </w:tcBorders>
          </w:tcPr>
          <w:p w:rsidR="00DA2B16" w:rsidRPr="00633A34" w:rsidRDefault="00DA2B16" w:rsidP="00DA2B16">
            <w:pPr>
              <w:rPr>
                <w:sz w:val="28"/>
              </w:rPr>
            </w:pPr>
            <w:r w:rsidRPr="00633A34">
              <w:rPr>
                <w:sz w:val="28"/>
              </w:rPr>
              <w:t>Director of Finance</w:t>
            </w:r>
          </w:p>
        </w:tc>
      </w:tr>
      <w:tr w:rsidR="00DA2B16" w:rsidRPr="00DA2B16" w:rsidTr="005C387C">
        <w:tc>
          <w:tcPr>
            <w:tcW w:w="2791" w:type="pct"/>
            <w:tcBorders>
              <w:top w:val="nil"/>
              <w:right w:val="nil"/>
            </w:tcBorders>
          </w:tcPr>
          <w:p w:rsidR="00DA2B16" w:rsidRPr="00DA2B16" w:rsidRDefault="00DA2B16" w:rsidP="00DA2B16">
            <w:pPr>
              <w:rPr>
                <w:sz w:val="28"/>
              </w:rPr>
            </w:pPr>
            <w:r w:rsidRPr="00DA2B16">
              <w:rPr>
                <w:sz w:val="28"/>
              </w:rPr>
              <w:t xml:space="preserve"> </w:t>
            </w:r>
          </w:p>
          <w:p w:rsidR="00DA2B16" w:rsidRPr="00DA2B16" w:rsidRDefault="00DA2B16" w:rsidP="003E0CB8">
            <w:pPr>
              <w:rPr>
                <w:sz w:val="28"/>
              </w:rPr>
            </w:pPr>
            <w:r w:rsidRPr="00633A34">
              <w:rPr>
                <w:sz w:val="28"/>
              </w:rPr>
              <w:t>Date:</w:t>
            </w:r>
            <w:r w:rsidRPr="00DA2B16">
              <w:rPr>
                <w:sz w:val="28"/>
              </w:rPr>
              <w:t xml:space="preserve"> </w:t>
            </w:r>
            <w:r w:rsidR="00C84E89">
              <w:rPr>
                <w:sz w:val="28"/>
              </w:rPr>
              <w:t>15</w:t>
            </w:r>
            <w:r w:rsidR="00C84E89" w:rsidRPr="00C84E89">
              <w:rPr>
                <w:sz w:val="28"/>
                <w:vertAlign w:val="superscript"/>
              </w:rPr>
              <w:t>th</w:t>
            </w:r>
            <w:r w:rsidR="00C84E89">
              <w:rPr>
                <w:sz w:val="28"/>
              </w:rPr>
              <w:t xml:space="preserve"> January 2018</w:t>
            </w:r>
            <w:r w:rsidRPr="00DA2B16">
              <w:rPr>
                <w:sz w:val="28"/>
              </w:rPr>
              <w:t xml:space="preserve">   </w:t>
            </w:r>
          </w:p>
        </w:tc>
        <w:tc>
          <w:tcPr>
            <w:tcW w:w="138" w:type="pct"/>
            <w:tcBorders>
              <w:left w:val="nil"/>
              <w:bottom w:val="single" w:sz="4" w:space="0" w:color="auto"/>
              <w:right w:val="nil"/>
            </w:tcBorders>
          </w:tcPr>
          <w:p w:rsidR="00DA2B16" w:rsidRPr="00DA2B16" w:rsidRDefault="00DA2B16" w:rsidP="00DA2B16">
            <w:pPr>
              <w:rPr>
                <w:sz w:val="28"/>
              </w:rPr>
            </w:pPr>
          </w:p>
        </w:tc>
        <w:tc>
          <w:tcPr>
            <w:tcW w:w="138" w:type="pct"/>
            <w:tcBorders>
              <w:top w:val="nil"/>
              <w:left w:val="nil"/>
              <w:right w:val="nil"/>
            </w:tcBorders>
          </w:tcPr>
          <w:p w:rsidR="00DA2B16" w:rsidRPr="00DA2B16" w:rsidRDefault="00DA2B16" w:rsidP="00DA2B16">
            <w:pPr>
              <w:rPr>
                <w:sz w:val="28"/>
              </w:rPr>
            </w:pPr>
          </w:p>
        </w:tc>
        <w:tc>
          <w:tcPr>
            <w:tcW w:w="1932" w:type="pct"/>
            <w:tcBorders>
              <w:top w:val="nil"/>
              <w:left w:val="nil"/>
            </w:tcBorders>
          </w:tcPr>
          <w:p w:rsidR="00DA2B16" w:rsidRPr="00DA2B16" w:rsidRDefault="00DA2B16" w:rsidP="00DA2B16">
            <w:pPr>
              <w:rPr>
                <w:sz w:val="28"/>
              </w:rPr>
            </w:pPr>
          </w:p>
        </w:tc>
      </w:tr>
      <w:tr w:rsidR="00DA2B16" w:rsidRPr="00DA2B16" w:rsidTr="005C387C">
        <w:tc>
          <w:tcPr>
            <w:tcW w:w="2791" w:type="pct"/>
            <w:tcBorders>
              <w:bottom w:val="nil"/>
              <w:right w:val="nil"/>
            </w:tcBorders>
          </w:tcPr>
          <w:p w:rsidR="00DA2B16" w:rsidRPr="00633A34" w:rsidRDefault="00DA2B16" w:rsidP="00DA2B16">
            <w:pPr>
              <w:rPr>
                <w:sz w:val="28"/>
              </w:rPr>
            </w:pPr>
          </w:p>
          <w:p w:rsidR="00DA2B16" w:rsidRPr="00633A34" w:rsidRDefault="00DA2B16" w:rsidP="00DA2B16">
            <w:pPr>
              <w:rPr>
                <w:sz w:val="28"/>
              </w:rPr>
            </w:pPr>
          </w:p>
        </w:tc>
        <w:tc>
          <w:tcPr>
            <w:tcW w:w="138" w:type="pct"/>
            <w:tcBorders>
              <w:left w:val="nil"/>
              <w:right w:val="nil"/>
            </w:tcBorders>
          </w:tcPr>
          <w:p w:rsidR="00DA2B16" w:rsidRPr="00633A34" w:rsidRDefault="00DA2B16" w:rsidP="00DA2B16">
            <w:pPr>
              <w:rPr>
                <w:sz w:val="28"/>
              </w:rPr>
            </w:pPr>
          </w:p>
        </w:tc>
        <w:tc>
          <w:tcPr>
            <w:tcW w:w="138" w:type="pct"/>
            <w:tcBorders>
              <w:left w:val="nil"/>
              <w:bottom w:val="nil"/>
              <w:right w:val="nil"/>
            </w:tcBorders>
          </w:tcPr>
          <w:p w:rsidR="00DA2B16" w:rsidRPr="00633A34" w:rsidRDefault="00DA2B16" w:rsidP="00DA2B16">
            <w:pPr>
              <w:rPr>
                <w:sz w:val="28"/>
              </w:rPr>
            </w:pPr>
          </w:p>
        </w:tc>
        <w:tc>
          <w:tcPr>
            <w:tcW w:w="1932" w:type="pct"/>
            <w:tcBorders>
              <w:left w:val="nil"/>
              <w:bottom w:val="nil"/>
            </w:tcBorders>
          </w:tcPr>
          <w:p w:rsidR="00DA2B16" w:rsidRPr="00633A34" w:rsidRDefault="00DA2B16" w:rsidP="00DA2B16">
            <w:pPr>
              <w:rPr>
                <w:sz w:val="28"/>
              </w:rPr>
            </w:pPr>
          </w:p>
          <w:p w:rsidR="00DA2B16" w:rsidRPr="00633A34" w:rsidRDefault="00DA2B16" w:rsidP="00DA2B16">
            <w:pPr>
              <w:rPr>
                <w:sz w:val="28"/>
              </w:rPr>
            </w:pPr>
            <w:r w:rsidRPr="00633A34">
              <w:rPr>
                <w:sz w:val="28"/>
              </w:rPr>
              <w:t>on behalf of the</w:t>
            </w:r>
          </w:p>
        </w:tc>
      </w:tr>
      <w:tr w:rsidR="00DA2B16" w:rsidRPr="00DA2B16" w:rsidTr="005C387C">
        <w:tc>
          <w:tcPr>
            <w:tcW w:w="2791" w:type="pct"/>
            <w:tcBorders>
              <w:top w:val="nil"/>
              <w:bottom w:val="nil"/>
            </w:tcBorders>
          </w:tcPr>
          <w:p w:rsidR="00DA2B16" w:rsidRPr="00633A34" w:rsidRDefault="00DA2B16" w:rsidP="003E0CB8">
            <w:pPr>
              <w:rPr>
                <w:sz w:val="28"/>
              </w:rPr>
            </w:pPr>
            <w:r w:rsidRPr="00633A34">
              <w:rPr>
                <w:sz w:val="28"/>
              </w:rPr>
              <w:t xml:space="preserve">Name: </w:t>
            </w:r>
            <w:r w:rsidR="00465A8C">
              <w:rPr>
                <w:sz w:val="28"/>
              </w:rPr>
              <w:t>Linda Cohen</w:t>
            </w:r>
          </w:p>
        </w:tc>
        <w:tc>
          <w:tcPr>
            <w:tcW w:w="138" w:type="pct"/>
            <w:tcBorders>
              <w:bottom w:val="single" w:sz="4" w:space="0" w:color="auto"/>
            </w:tcBorders>
          </w:tcPr>
          <w:p w:rsidR="00DA2B16" w:rsidRPr="00633A34" w:rsidRDefault="00465A8C" w:rsidP="00465A8C">
            <w:pPr>
              <w:rPr>
                <w:sz w:val="28"/>
              </w:rPr>
            </w:pPr>
            <w:r>
              <w:rPr>
                <w:sz w:val="28"/>
              </w:rPr>
              <w:t>x</w:t>
            </w:r>
          </w:p>
        </w:tc>
        <w:tc>
          <w:tcPr>
            <w:tcW w:w="138" w:type="pct"/>
            <w:tcBorders>
              <w:top w:val="nil"/>
              <w:bottom w:val="nil"/>
              <w:right w:val="nil"/>
            </w:tcBorders>
          </w:tcPr>
          <w:p w:rsidR="00DA2B16" w:rsidRPr="00633A34" w:rsidRDefault="00DA2B16" w:rsidP="00DA2B16">
            <w:pPr>
              <w:rPr>
                <w:sz w:val="28"/>
              </w:rPr>
            </w:pPr>
          </w:p>
        </w:tc>
        <w:tc>
          <w:tcPr>
            <w:tcW w:w="1932" w:type="pct"/>
            <w:tcBorders>
              <w:top w:val="nil"/>
              <w:left w:val="nil"/>
              <w:bottom w:val="nil"/>
            </w:tcBorders>
          </w:tcPr>
          <w:p w:rsidR="00DA2B16" w:rsidRPr="00633A34" w:rsidRDefault="00DA2B16" w:rsidP="00DA2B16">
            <w:pPr>
              <w:rPr>
                <w:sz w:val="28"/>
              </w:rPr>
            </w:pPr>
            <w:r w:rsidRPr="00633A34">
              <w:rPr>
                <w:sz w:val="28"/>
              </w:rPr>
              <w:t>Monitoring Officer</w:t>
            </w:r>
          </w:p>
        </w:tc>
      </w:tr>
      <w:tr w:rsidR="00DA2B16" w:rsidRPr="00DA2B16" w:rsidTr="005C387C">
        <w:tc>
          <w:tcPr>
            <w:tcW w:w="2791" w:type="pct"/>
            <w:tcBorders>
              <w:top w:val="nil"/>
              <w:right w:val="nil"/>
            </w:tcBorders>
          </w:tcPr>
          <w:p w:rsidR="00DA2B16" w:rsidRPr="00DA2B16" w:rsidRDefault="00DA2B16" w:rsidP="00DA2B16">
            <w:pPr>
              <w:rPr>
                <w:sz w:val="28"/>
              </w:rPr>
            </w:pPr>
          </w:p>
          <w:p w:rsidR="00DA2B16" w:rsidRPr="00DA2B16" w:rsidRDefault="00DA2B16" w:rsidP="003E0CB8">
            <w:pPr>
              <w:rPr>
                <w:sz w:val="28"/>
              </w:rPr>
            </w:pPr>
            <w:r w:rsidRPr="00633A34">
              <w:rPr>
                <w:sz w:val="28"/>
              </w:rPr>
              <w:t>Date</w:t>
            </w:r>
            <w:r w:rsidR="003E0CB8">
              <w:rPr>
                <w:sz w:val="28"/>
              </w:rPr>
              <w:t>:</w:t>
            </w:r>
            <w:r w:rsidR="00465A8C">
              <w:rPr>
                <w:sz w:val="28"/>
              </w:rPr>
              <w:t xml:space="preserve"> 15</w:t>
            </w:r>
            <w:r w:rsidR="00465A8C" w:rsidRPr="00465A8C">
              <w:rPr>
                <w:sz w:val="28"/>
                <w:vertAlign w:val="superscript"/>
              </w:rPr>
              <w:t>th</w:t>
            </w:r>
            <w:r w:rsidR="00465A8C">
              <w:rPr>
                <w:sz w:val="28"/>
              </w:rPr>
              <w:t xml:space="preserve"> January 2018</w:t>
            </w:r>
          </w:p>
        </w:tc>
        <w:tc>
          <w:tcPr>
            <w:tcW w:w="138" w:type="pct"/>
            <w:tcBorders>
              <w:left w:val="nil"/>
              <w:right w:val="nil"/>
            </w:tcBorders>
          </w:tcPr>
          <w:p w:rsidR="00DA2B16" w:rsidRPr="00DA2B16" w:rsidRDefault="00DA2B16" w:rsidP="00DA2B16">
            <w:pPr>
              <w:rPr>
                <w:sz w:val="28"/>
              </w:rPr>
            </w:pPr>
          </w:p>
        </w:tc>
        <w:tc>
          <w:tcPr>
            <w:tcW w:w="138" w:type="pct"/>
            <w:tcBorders>
              <w:top w:val="nil"/>
              <w:left w:val="nil"/>
              <w:right w:val="nil"/>
            </w:tcBorders>
          </w:tcPr>
          <w:p w:rsidR="00DA2B16" w:rsidRPr="00DA2B16" w:rsidRDefault="00DA2B16" w:rsidP="00DA2B16">
            <w:pPr>
              <w:rPr>
                <w:sz w:val="28"/>
              </w:rPr>
            </w:pPr>
          </w:p>
        </w:tc>
        <w:tc>
          <w:tcPr>
            <w:tcW w:w="1932" w:type="pct"/>
            <w:tcBorders>
              <w:top w:val="nil"/>
              <w:left w:val="nil"/>
            </w:tcBorders>
          </w:tcPr>
          <w:p w:rsidR="00DA2B16" w:rsidRPr="00DA2B16" w:rsidRDefault="00DA2B16" w:rsidP="00DA2B16">
            <w:pPr>
              <w:rPr>
                <w:sz w:val="28"/>
              </w:rPr>
            </w:pPr>
          </w:p>
          <w:p w:rsidR="00DA2B16" w:rsidRPr="00DA2B16" w:rsidRDefault="00DA2B16" w:rsidP="00DA2B16">
            <w:pPr>
              <w:rPr>
                <w:sz w:val="28"/>
              </w:rPr>
            </w:pPr>
          </w:p>
        </w:tc>
      </w:tr>
    </w:tbl>
    <w:p w:rsidR="00D61903" w:rsidRPr="00DA2B16" w:rsidRDefault="00D61903" w:rsidP="00DA2B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tblGrid>
      <w:tr w:rsidR="00DA2B16" w:rsidRPr="00DA2B16" w:rsidTr="005C387C">
        <w:tc>
          <w:tcPr>
            <w:tcW w:w="9857" w:type="dxa"/>
            <w:shd w:val="clear" w:color="auto" w:fill="auto"/>
          </w:tcPr>
          <w:p w:rsidR="00DA2B16" w:rsidRPr="00633A34" w:rsidRDefault="00DA2B16" w:rsidP="00DA2B16">
            <w:pPr>
              <w:outlineLvl w:val="0"/>
              <w:rPr>
                <w:rFonts w:ascii="Arial Black" w:hAnsi="Arial Black" w:cs="Arial"/>
                <w:b/>
                <w:bCs/>
                <w:sz w:val="32"/>
                <w:szCs w:val="32"/>
              </w:rPr>
            </w:pPr>
            <w:r w:rsidRPr="00633A34">
              <w:rPr>
                <w:rFonts w:ascii="Arial Black" w:hAnsi="Arial Black" w:cs="Arial"/>
                <w:b/>
                <w:bCs/>
                <w:sz w:val="32"/>
                <w:szCs w:val="32"/>
              </w:rPr>
              <w:t xml:space="preserve">Ward Councillors notified:                  No </w:t>
            </w:r>
          </w:p>
        </w:tc>
      </w:tr>
      <w:tr w:rsidR="00DA2B16" w:rsidRPr="00DA2B16" w:rsidTr="005C387C">
        <w:tc>
          <w:tcPr>
            <w:tcW w:w="9857" w:type="dxa"/>
            <w:shd w:val="clear" w:color="auto" w:fill="auto"/>
          </w:tcPr>
          <w:p w:rsidR="00DA2B16" w:rsidRPr="00633A34" w:rsidRDefault="00DA2B16" w:rsidP="00DA2B16">
            <w:pPr>
              <w:outlineLvl w:val="0"/>
              <w:rPr>
                <w:rFonts w:ascii="Arial Black" w:hAnsi="Arial Black" w:cs="Arial"/>
                <w:b/>
                <w:bCs/>
                <w:sz w:val="32"/>
                <w:szCs w:val="32"/>
              </w:rPr>
            </w:pPr>
            <w:r w:rsidRPr="00633A34">
              <w:rPr>
                <w:rFonts w:ascii="Arial Black" w:hAnsi="Arial Black" w:cs="Arial"/>
                <w:b/>
                <w:bCs/>
                <w:sz w:val="32"/>
                <w:szCs w:val="32"/>
              </w:rPr>
              <w:t>EqIA carried out:                                 No</w:t>
            </w:r>
          </w:p>
          <w:p w:rsidR="00DA2B16" w:rsidRPr="00633A34" w:rsidRDefault="00DA2B16" w:rsidP="00DA2B16">
            <w:pPr>
              <w:outlineLvl w:val="0"/>
              <w:rPr>
                <w:rFonts w:ascii="Arial Black" w:hAnsi="Arial Black" w:cs="Arial"/>
                <w:b/>
                <w:bCs/>
                <w:sz w:val="32"/>
                <w:szCs w:val="32"/>
              </w:rPr>
            </w:pPr>
          </w:p>
          <w:p w:rsidR="00DA2B16" w:rsidRPr="00633A34" w:rsidRDefault="00DA2B16" w:rsidP="00DA2B16">
            <w:pPr>
              <w:outlineLvl w:val="0"/>
              <w:rPr>
                <w:rFonts w:ascii="Arial Black" w:hAnsi="Arial Black" w:cs="Arial"/>
                <w:b/>
                <w:bCs/>
                <w:sz w:val="32"/>
                <w:szCs w:val="32"/>
              </w:rPr>
            </w:pPr>
            <w:r w:rsidRPr="00633A34">
              <w:rPr>
                <w:rFonts w:ascii="Arial Black" w:hAnsi="Arial Black" w:cs="Arial"/>
                <w:b/>
                <w:bCs/>
                <w:sz w:val="32"/>
                <w:szCs w:val="32"/>
              </w:rPr>
              <w:t xml:space="preserve">EqIA cleared by:                                  N/A   </w:t>
            </w:r>
          </w:p>
          <w:p w:rsidR="00DA2B16" w:rsidRPr="00633A34" w:rsidRDefault="00DA2B16" w:rsidP="00DA2B16"/>
        </w:tc>
      </w:tr>
    </w:tbl>
    <w:p w:rsidR="00DA2B16" w:rsidRPr="00DA2B16" w:rsidRDefault="00DA2B16" w:rsidP="00DA2B16"/>
    <w:p w:rsidR="00DA2B16" w:rsidRPr="00633A34" w:rsidRDefault="00DA2B16" w:rsidP="00DA2B16">
      <w:pPr>
        <w:outlineLvl w:val="0"/>
        <w:rPr>
          <w:rFonts w:ascii="Arial Black" w:hAnsi="Arial Black" w:cs="Arial"/>
          <w:b/>
          <w:bCs/>
          <w:sz w:val="36"/>
          <w:szCs w:val="36"/>
        </w:rPr>
      </w:pPr>
      <w:r w:rsidRPr="00633A34">
        <w:rPr>
          <w:rFonts w:ascii="Arial Black" w:hAnsi="Arial Black" w:cs="Arial"/>
          <w:b/>
          <w:bCs/>
          <w:sz w:val="36"/>
          <w:szCs w:val="36"/>
        </w:rPr>
        <w:t>Section 4 - Contact Details and Background Papers</w:t>
      </w:r>
    </w:p>
    <w:p w:rsidR="00DA2B16" w:rsidRPr="00633A34" w:rsidRDefault="00DA2B16" w:rsidP="00DA2B16"/>
    <w:p w:rsidR="00DA2B16" w:rsidRPr="00633A34" w:rsidRDefault="00DA2B16" w:rsidP="00DA2B16">
      <w:pPr>
        <w:tabs>
          <w:tab w:val="left" w:pos="1309"/>
          <w:tab w:val="left" w:pos="7106"/>
          <w:tab w:val="left" w:pos="8976"/>
        </w:tabs>
        <w:ind w:left="1309" w:right="257" w:hanging="1309"/>
        <w:rPr>
          <w:szCs w:val="24"/>
        </w:rPr>
      </w:pPr>
      <w:r w:rsidRPr="00633A34">
        <w:rPr>
          <w:b/>
          <w:sz w:val="28"/>
        </w:rPr>
        <w:t>Contact:  Ia</w:t>
      </w:r>
      <w:r w:rsidR="003E0CB8">
        <w:rPr>
          <w:b/>
          <w:sz w:val="28"/>
        </w:rPr>
        <w:t>i</w:t>
      </w:r>
      <w:r w:rsidRPr="00633A34">
        <w:rPr>
          <w:b/>
          <w:sz w:val="28"/>
        </w:rPr>
        <w:t xml:space="preserve">n </w:t>
      </w:r>
      <w:r w:rsidR="003E0CB8">
        <w:rPr>
          <w:b/>
          <w:sz w:val="28"/>
        </w:rPr>
        <w:t xml:space="preserve">Millar </w:t>
      </w:r>
      <w:r w:rsidRPr="00633A34">
        <w:rPr>
          <w:szCs w:val="24"/>
        </w:rPr>
        <w:t>(Treasury and Pension</w:t>
      </w:r>
      <w:r w:rsidR="003E0CB8">
        <w:rPr>
          <w:szCs w:val="24"/>
        </w:rPr>
        <w:t>s</w:t>
      </w:r>
      <w:r w:rsidRPr="00633A34">
        <w:rPr>
          <w:szCs w:val="24"/>
        </w:rPr>
        <w:t xml:space="preserve"> Manager)   Tel: 020-8424-14</w:t>
      </w:r>
      <w:r w:rsidR="003E0CB8">
        <w:rPr>
          <w:szCs w:val="24"/>
        </w:rPr>
        <w:t>32</w:t>
      </w:r>
      <w:r w:rsidRPr="00633A34">
        <w:rPr>
          <w:szCs w:val="24"/>
        </w:rPr>
        <w:t>/ Email: ia</w:t>
      </w:r>
      <w:r w:rsidR="003E0CB8">
        <w:rPr>
          <w:szCs w:val="24"/>
        </w:rPr>
        <w:t>i</w:t>
      </w:r>
      <w:r w:rsidRPr="00633A34">
        <w:rPr>
          <w:szCs w:val="24"/>
        </w:rPr>
        <w:t>n.</w:t>
      </w:r>
      <w:r w:rsidR="003E0CB8">
        <w:rPr>
          <w:szCs w:val="24"/>
        </w:rPr>
        <w:t>millar</w:t>
      </w:r>
      <w:r w:rsidRPr="00633A34">
        <w:rPr>
          <w:szCs w:val="24"/>
        </w:rPr>
        <w:t>@harrow.gov.uk</w:t>
      </w:r>
      <w:r w:rsidRPr="00633A34" w:rsidDel="00BA5B92">
        <w:rPr>
          <w:szCs w:val="24"/>
        </w:rPr>
        <w:t xml:space="preserve"> </w:t>
      </w:r>
    </w:p>
    <w:p w:rsidR="00DA2B16" w:rsidRPr="00633A34" w:rsidRDefault="00DA2B16" w:rsidP="00DA2B16">
      <w:pPr>
        <w:tabs>
          <w:tab w:val="left" w:pos="1309"/>
          <w:tab w:val="left" w:pos="7106"/>
          <w:tab w:val="left" w:pos="8976"/>
        </w:tabs>
        <w:ind w:left="1309" w:right="257" w:hanging="1309"/>
        <w:rPr>
          <w:sz w:val="28"/>
        </w:rPr>
      </w:pPr>
    </w:p>
    <w:p w:rsidR="00DA2B16" w:rsidRPr="00633A34" w:rsidRDefault="00DA2B16" w:rsidP="00DA2B16">
      <w:pPr>
        <w:rPr>
          <w:b/>
          <w:sz w:val="28"/>
        </w:rPr>
      </w:pPr>
      <w:r w:rsidRPr="00633A34">
        <w:rPr>
          <w:b/>
          <w:sz w:val="28"/>
        </w:rPr>
        <w:t>Background Papers: N/A</w:t>
      </w:r>
    </w:p>
    <w:p w:rsidR="00DA2B16" w:rsidRPr="00633A34" w:rsidRDefault="00DA2B16" w:rsidP="00DA2B16">
      <w:pPr>
        <w:tabs>
          <w:tab w:val="left" w:pos="8976"/>
        </w:tabs>
        <w:ind w:right="257"/>
        <w:rPr>
          <w:szCs w:val="24"/>
        </w:rPr>
      </w:pPr>
    </w:p>
    <w:p w:rsidR="00DA2B16" w:rsidRPr="00D4544E" w:rsidRDefault="00DA2B16" w:rsidP="00D23AE5">
      <w:pPr>
        <w:jc w:val="right"/>
        <w:rPr>
          <w:b/>
          <w:sz w:val="32"/>
          <w:szCs w:val="32"/>
        </w:rPr>
      </w:pPr>
      <w:r w:rsidRPr="00D4544E">
        <w:rPr>
          <w:b/>
          <w:sz w:val="32"/>
          <w:szCs w:val="32"/>
        </w:rPr>
        <w:lastRenderedPageBreak/>
        <w:t xml:space="preserve">APPENDIX </w:t>
      </w:r>
      <w:r w:rsidR="008D3302">
        <w:rPr>
          <w:b/>
          <w:sz w:val="32"/>
          <w:szCs w:val="32"/>
        </w:rPr>
        <w:t>A</w:t>
      </w:r>
    </w:p>
    <w:p w:rsidR="00D205B5" w:rsidRPr="00D4544E" w:rsidRDefault="00D205B5" w:rsidP="00D205B5">
      <w:pPr>
        <w:rPr>
          <w:szCs w:val="24"/>
        </w:rPr>
      </w:pPr>
      <w:r w:rsidRPr="00D4544E">
        <w:rPr>
          <w:b/>
          <w:sz w:val="32"/>
          <w:szCs w:val="32"/>
        </w:rPr>
        <w:t>LEGISLATION AND REGULATIONS IMPACTING ON TREASURY MANAGEMENT</w:t>
      </w:r>
    </w:p>
    <w:p w:rsidR="00D205B5" w:rsidRPr="00D4544E" w:rsidRDefault="00D205B5" w:rsidP="00D205B5">
      <w:pPr>
        <w:rPr>
          <w:szCs w:val="24"/>
        </w:rPr>
      </w:pPr>
    </w:p>
    <w:p w:rsidR="00D205B5" w:rsidRPr="00D4544E" w:rsidRDefault="00D205B5" w:rsidP="00CB1374">
      <w:pPr>
        <w:jc w:val="both"/>
        <w:rPr>
          <w:szCs w:val="24"/>
        </w:rPr>
      </w:pPr>
      <w:r w:rsidRPr="00D4544E">
        <w:rPr>
          <w:szCs w:val="24"/>
        </w:rPr>
        <w:t>The following items numbered 1 - 4 show the sequence of legislation and regulation impacting on the treasury management function. The sequence begins with primary legislation, moves through Government guidance and Chartered Institute of Public Finance and Accountancy (CIPFA) codes of practice and finishes with implementation through the Council’s own Treasury Management Practices.</w:t>
      </w:r>
    </w:p>
    <w:p w:rsidR="00D205B5" w:rsidRPr="00D4544E" w:rsidRDefault="00D205B5" w:rsidP="00D205B5">
      <w:pPr>
        <w:rPr>
          <w:b/>
          <w:sz w:val="28"/>
        </w:rPr>
      </w:pPr>
    </w:p>
    <w:p w:rsidR="00D205B5" w:rsidRPr="00D4544E" w:rsidRDefault="00D205B5" w:rsidP="00D205B5">
      <w:pPr>
        <w:rPr>
          <w:b/>
          <w:sz w:val="28"/>
          <w:u w:val="single"/>
        </w:rPr>
      </w:pPr>
      <w:r w:rsidRPr="00D4544E">
        <w:rPr>
          <w:b/>
          <w:sz w:val="28"/>
          <w:u w:val="single"/>
        </w:rPr>
        <w:t>1.  Local Government Act 2003</w:t>
      </w:r>
    </w:p>
    <w:p w:rsidR="00D205B5" w:rsidRPr="00D4544E" w:rsidRDefault="00D205B5" w:rsidP="00D205B5">
      <w:pPr>
        <w:rPr>
          <w:b/>
          <w:sz w:val="28"/>
          <w:u w:val="single"/>
        </w:rPr>
      </w:pPr>
    </w:p>
    <w:p w:rsidR="00D205B5" w:rsidRPr="00D4544E" w:rsidRDefault="00D205B5" w:rsidP="00D205B5">
      <w:pPr>
        <w:rPr>
          <w:szCs w:val="24"/>
        </w:rPr>
      </w:pPr>
      <w:r w:rsidRPr="00D4544E">
        <w:rPr>
          <w:szCs w:val="24"/>
        </w:rPr>
        <w:t>Link below</w:t>
      </w:r>
    </w:p>
    <w:p w:rsidR="00D205B5" w:rsidRPr="00D4544E" w:rsidRDefault="00D205B5" w:rsidP="00D205B5">
      <w:pPr>
        <w:rPr>
          <w:b/>
          <w:sz w:val="28"/>
          <w:u w:val="single"/>
        </w:rPr>
      </w:pPr>
    </w:p>
    <w:p w:rsidR="00D205B5" w:rsidRPr="00D4544E" w:rsidRDefault="00B8141B" w:rsidP="00D205B5">
      <w:pPr>
        <w:rPr>
          <w:b/>
          <w:sz w:val="28"/>
          <w:u w:val="single"/>
        </w:rPr>
      </w:pPr>
      <w:hyperlink r:id="rId19" w:history="1">
        <w:r w:rsidR="00D205B5" w:rsidRPr="00D4544E">
          <w:rPr>
            <w:b/>
            <w:color w:val="0000FF"/>
            <w:sz w:val="28"/>
            <w:u w:val="single"/>
          </w:rPr>
          <w:t>Local Government Act 2003</w:t>
        </w:r>
      </w:hyperlink>
    </w:p>
    <w:p w:rsidR="00D205B5" w:rsidRPr="00D4544E" w:rsidRDefault="00D205B5" w:rsidP="00D205B5">
      <w:pPr>
        <w:rPr>
          <w:b/>
          <w:sz w:val="28"/>
          <w:u w:val="single"/>
        </w:rPr>
      </w:pPr>
    </w:p>
    <w:p w:rsidR="00D205B5" w:rsidRPr="00D4544E" w:rsidRDefault="00D205B5" w:rsidP="00D205B5">
      <w:pPr>
        <w:jc w:val="both"/>
        <w:rPr>
          <w:szCs w:val="24"/>
        </w:rPr>
      </w:pPr>
      <w:r w:rsidRPr="00D4544E">
        <w:rPr>
          <w:szCs w:val="24"/>
        </w:rPr>
        <w:t xml:space="preserve">Below is a summary of the provisions in the Act dealing with treasury management. </w:t>
      </w:r>
    </w:p>
    <w:p w:rsidR="00D205B5" w:rsidRPr="00D4544E" w:rsidRDefault="00D205B5" w:rsidP="00D205B5">
      <w:pPr>
        <w:jc w:val="both"/>
        <w:rPr>
          <w:szCs w:val="24"/>
        </w:rPr>
      </w:pPr>
    </w:p>
    <w:p w:rsidR="00D205B5" w:rsidRPr="00D4544E" w:rsidRDefault="00D205B5" w:rsidP="00D205B5">
      <w:pPr>
        <w:jc w:val="both"/>
        <w:rPr>
          <w:szCs w:val="24"/>
        </w:rPr>
      </w:pPr>
      <w:r w:rsidRPr="00D4544E">
        <w:rPr>
          <w:szCs w:val="24"/>
        </w:rPr>
        <w:t>In addition the Secretary of State is empowered to define the provisions through further regulations and guidance which he has subsequently done through statutory instruments, Department of Communities and Local Government Guidance and CIPFA codes of practice.</w:t>
      </w:r>
    </w:p>
    <w:p w:rsidR="00D205B5" w:rsidRPr="00D4544E" w:rsidRDefault="00D205B5" w:rsidP="00D205B5">
      <w:pPr>
        <w:rPr>
          <w:szCs w:val="24"/>
        </w:rPr>
      </w:pPr>
    </w:p>
    <w:p w:rsidR="00D205B5" w:rsidRPr="00D4544E" w:rsidRDefault="00D205B5" w:rsidP="00D205B5">
      <w:pPr>
        <w:rPr>
          <w:b/>
          <w:lang w:val="en" w:eastAsia="en-GB"/>
        </w:rPr>
      </w:pPr>
      <w:r w:rsidRPr="00D4544E">
        <w:rPr>
          <w:b/>
          <w:lang w:val="en" w:eastAsia="en-GB"/>
        </w:rPr>
        <w:t>Power to borrow</w:t>
      </w:r>
    </w:p>
    <w:p w:rsidR="00D205B5" w:rsidRPr="00D4544E" w:rsidRDefault="00D205B5" w:rsidP="00D205B5">
      <w:pPr>
        <w:rPr>
          <w:lang w:val="en" w:eastAsia="en-GB"/>
        </w:rPr>
      </w:pPr>
      <w:r w:rsidRPr="00D4544E">
        <w:rPr>
          <w:lang w:val="en" w:eastAsia="en-GB"/>
        </w:rPr>
        <w:t>The Council has the power to borrow for purposes relevant to its functions and for normal treasury management purposes – for example, to refinance existing debt.</w:t>
      </w:r>
    </w:p>
    <w:p w:rsidR="00D205B5" w:rsidRPr="00D4544E" w:rsidRDefault="00D205B5" w:rsidP="00D205B5">
      <w:pPr>
        <w:rPr>
          <w:lang w:val="en" w:eastAsia="en-GB"/>
        </w:rPr>
      </w:pPr>
    </w:p>
    <w:p w:rsidR="00D205B5" w:rsidRPr="00D4544E" w:rsidRDefault="00D205B5" w:rsidP="00D205B5">
      <w:pPr>
        <w:rPr>
          <w:b/>
          <w:lang w:val="en" w:eastAsia="en-GB"/>
        </w:rPr>
      </w:pPr>
      <w:r w:rsidRPr="00D4544E">
        <w:rPr>
          <w:b/>
          <w:lang w:val="en" w:eastAsia="en-GB"/>
        </w:rPr>
        <w:t>Control of borrowing</w:t>
      </w:r>
    </w:p>
    <w:p w:rsidR="00D205B5" w:rsidRPr="00D4544E" w:rsidRDefault="00D205B5" w:rsidP="00D205B5">
      <w:pPr>
        <w:jc w:val="both"/>
        <w:rPr>
          <w:lang w:val="en" w:eastAsia="en-GB"/>
        </w:rPr>
      </w:pPr>
      <w:r w:rsidRPr="00D4544E">
        <w:rPr>
          <w:lang w:val="en" w:eastAsia="en-GB"/>
        </w:rPr>
        <w:t>The main borrowing control is the duty not to breach the prudential and national limits as described below.</w:t>
      </w:r>
    </w:p>
    <w:p w:rsidR="00D205B5" w:rsidRPr="00D4544E" w:rsidRDefault="00D205B5" w:rsidP="00D205B5">
      <w:pPr>
        <w:jc w:val="both"/>
        <w:rPr>
          <w:lang w:val="en" w:eastAsia="en-GB"/>
        </w:rPr>
      </w:pPr>
      <w:r w:rsidRPr="00D4544E">
        <w:rPr>
          <w:lang w:val="en" w:eastAsia="en-GB"/>
        </w:rPr>
        <w:t>The Council is free to seek loans from any source but is prohibited from borrowing in foreign currencies without the consent of Treasury, since adverse exchange rate movements could leave it owing more than it had borrowed.</w:t>
      </w:r>
    </w:p>
    <w:p w:rsidR="00D205B5" w:rsidRPr="00D4544E" w:rsidRDefault="00D205B5" w:rsidP="00D205B5">
      <w:pPr>
        <w:jc w:val="both"/>
        <w:rPr>
          <w:lang w:val="en" w:eastAsia="en-GB"/>
        </w:rPr>
      </w:pPr>
      <w:r w:rsidRPr="00D4544E">
        <w:rPr>
          <w:lang w:val="en" w:eastAsia="en-GB"/>
        </w:rPr>
        <w:t>All of the Council’s revenues serve as security for its borrowing. The mortgaging of property is prohibited.</w:t>
      </w:r>
    </w:p>
    <w:p w:rsidR="00D205B5" w:rsidRPr="00D4544E" w:rsidRDefault="00D205B5" w:rsidP="00D205B5">
      <w:pPr>
        <w:jc w:val="both"/>
        <w:rPr>
          <w:lang w:val="en" w:eastAsia="en-GB"/>
        </w:rPr>
      </w:pPr>
      <w:r w:rsidRPr="00D4544E">
        <w:rPr>
          <w:lang w:val="en" w:eastAsia="en-GB"/>
        </w:rPr>
        <w:t>It is unlawful for the Council to ‘securitise’, that is, to sell future revenue streams such as housing rents for immediate lump-sums.</w:t>
      </w:r>
    </w:p>
    <w:p w:rsidR="00D205B5" w:rsidRPr="00D4544E" w:rsidRDefault="00D205B5" w:rsidP="00D205B5">
      <w:pPr>
        <w:rPr>
          <w:b/>
          <w:lang w:val="en" w:eastAsia="en-GB"/>
        </w:rPr>
      </w:pPr>
    </w:p>
    <w:p w:rsidR="00D205B5" w:rsidRPr="00D4544E" w:rsidRDefault="00D205B5" w:rsidP="00D205B5">
      <w:pPr>
        <w:rPr>
          <w:b/>
          <w:lang w:val="en" w:eastAsia="en-GB"/>
        </w:rPr>
      </w:pPr>
      <w:r w:rsidRPr="00D4544E">
        <w:rPr>
          <w:b/>
          <w:lang w:val="en" w:eastAsia="en-GB"/>
        </w:rPr>
        <w:t>Affordable borrowing limit</w:t>
      </w:r>
    </w:p>
    <w:p w:rsidR="00D205B5" w:rsidRPr="00D4544E" w:rsidRDefault="00D205B5" w:rsidP="00D205B5">
      <w:pPr>
        <w:jc w:val="both"/>
        <w:rPr>
          <w:lang w:val="en" w:eastAsia="en-GB"/>
        </w:rPr>
      </w:pPr>
      <w:r w:rsidRPr="00D4544E">
        <w:rPr>
          <w:lang w:val="en" w:eastAsia="en-GB"/>
        </w:rPr>
        <w:t>The legislation imposes a broad duty for the Council to determine and keep under review the amount it can afford to borrow.  The Secretary of State has subsequently defined this duty in more detail through the Prudential Code produced by CIPFA, which lays down the practical rules for deciding whether borrowing is affordable.</w:t>
      </w:r>
    </w:p>
    <w:p w:rsidR="00D205B5" w:rsidRPr="00D4544E" w:rsidRDefault="00D205B5" w:rsidP="00D205B5">
      <w:pPr>
        <w:jc w:val="both"/>
        <w:rPr>
          <w:lang w:val="en" w:eastAsia="en-GB"/>
        </w:rPr>
      </w:pPr>
      <w:r w:rsidRPr="00D4544E">
        <w:rPr>
          <w:lang w:val="en" w:eastAsia="en-GB"/>
        </w:rPr>
        <w:t xml:space="preserve">It is for the Council (at a meeting of the full Council) to set its own ‘prudential’ limit in accordance with these rules, subject only to the scrutiny of its external auditor. The Council is then free to borrow up to that limit without Government </w:t>
      </w:r>
      <w:r w:rsidRPr="00D4544E">
        <w:rPr>
          <w:lang w:val="en" w:eastAsia="en-GB"/>
        </w:rPr>
        <w:lastRenderedPageBreak/>
        <w:t xml:space="preserve">consent. The Council is free to vary the limit during the year, if there is good reason. </w:t>
      </w:r>
    </w:p>
    <w:p w:rsidR="00D205B5" w:rsidRPr="00D4544E" w:rsidRDefault="00D205B5" w:rsidP="00D205B5">
      <w:pPr>
        <w:jc w:val="both"/>
        <w:rPr>
          <w:lang w:val="en" w:eastAsia="en-GB"/>
        </w:rPr>
      </w:pPr>
    </w:p>
    <w:p w:rsidR="00D205B5" w:rsidRPr="00D4544E" w:rsidRDefault="00D205B5" w:rsidP="00D205B5">
      <w:pPr>
        <w:jc w:val="both"/>
        <w:rPr>
          <w:lang w:val="en" w:eastAsia="en-GB"/>
        </w:rPr>
      </w:pPr>
      <w:r w:rsidRPr="00D4544E">
        <w:rPr>
          <w:lang w:val="en" w:eastAsia="en-GB"/>
        </w:rPr>
        <w:t xml:space="preserve">Requirements in other legislation for the Council to balance its revenue budget prevents the long-term financing of revenue expenditure by borrowing. </w:t>
      </w:r>
    </w:p>
    <w:p w:rsidR="00D205B5" w:rsidRPr="00D4544E" w:rsidRDefault="00D205B5" w:rsidP="00D205B5">
      <w:pPr>
        <w:jc w:val="both"/>
        <w:rPr>
          <w:lang w:val="en" w:eastAsia="en-GB"/>
        </w:rPr>
      </w:pPr>
      <w:r w:rsidRPr="00D4544E">
        <w:rPr>
          <w:lang w:val="en" w:eastAsia="en-GB"/>
        </w:rPr>
        <w:t xml:space="preserve">However the legislation does confer limited capacity to borrow short-term for revenue needs in the interests of cash-flow management and </w:t>
      </w:r>
      <w:r w:rsidR="00A5699B" w:rsidRPr="00D4544E">
        <w:rPr>
          <w:lang w:val="en" w:eastAsia="en-GB"/>
        </w:rPr>
        <w:t>foreseeable</w:t>
      </w:r>
      <w:r w:rsidRPr="00D4544E">
        <w:rPr>
          <w:lang w:val="en" w:eastAsia="en-GB"/>
        </w:rPr>
        <w:t xml:space="preserve"> requirements for temporary revenue borrowing are allowed for when borrowing limits are set by the Council.</w:t>
      </w:r>
    </w:p>
    <w:p w:rsidR="00D205B5" w:rsidRPr="00D4544E" w:rsidRDefault="00D205B5" w:rsidP="00D205B5">
      <w:pPr>
        <w:jc w:val="both"/>
        <w:rPr>
          <w:lang w:val="en" w:eastAsia="en-GB"/>
        </w:rPr>
      </w:pPr>
    </w:p>
    <w:p w:rsidR="00D205B5" w:rsidRPr="00D4544E" w:rsidRDefault="00D205B5" w:rsidP="00D205B5">
      <w:pPr>
        <w:jc w:val="both"/>
        <w:rPr>
          <w:lang w:val="en" w:eastAsia="en-GB"/>
        </w:rPr>
      </w:pPr>
      <w:r w:rsidRPr="00D4544E">
        <w:rPr>
          <w:lang w:val="en" w:eastAsia="en-GB"/>
        </w:rPr>
        <w:t>The Council is allowed extra flexibility in the event of unforeseen needs, by being allowed to increase borrowing limits by the amounts of any payments which are due in the year but have not yet been received.</w:t>
      </w:r>
    </w:p>
    <w:p w:rsidR="00D23AE5" w:rsidRDefault="00D23AE5" w:rsidP="00D205B5">
      <w:pPr>
        <w:rPr>
          <w:b/>
          <w:lang w:val="en" w:eastAsia="en-GB"/>
        </w:rPr>
      </w:pPr>
    </w:p>
    <w:p w:rsidR="00D205B5" w:rsidRPr="00D4544E" w:rsidRDefault="00D205B5" w:rsidP="00D205B5">
      <w:pPr>
        <w:rPr>
          <w:b/>
          <w:lang w:val="en" w:eastAsia="en-GB"/>
        </w:rPr>
      </w:pPr>
      <w:r w:rsidRPr="00D4544E">
        <w:rPr>
          <w:b/>
          <w:lang w:val="en" w:eastAsia="en-GB"/>
        </w:rPr>
        <w:t>Imposition of borrowing limits</w:t>
      </w:r>
    </w:p>
    <w:p w:rsidR="00D205B5" w:rsidRPr="00D4544E" w:rsidRDefault="00D205B5" w:rsidP="00D205B5">
      <w:pPr>
        <w:jc w:val="both"/>
        <w:rPr>
          <w:lang w:val="en" w:eastAsia="en-GB"/>
        </w:rPr>
      </w:pPr>
      <w:r w:rsidRPr="00D4544E">
        <w:rPr>
          <w:lang w:val="en" w:eastAsia="en-GB"/>
        </w:rPr>
        <w:t>The Government has retained reserve power to impose ‘longstop’ limits for national economic reasons on all local authorities’ borrowing and these would override authorities’ self-determined prudential limits. Since this power has not yet been used the potential impact on the Council is not known.</w:t>
      </w:r>
    </w:p>
    <w:p w:rsidR="00D205B5" w:rsidRPr="00D4544E" w:rsidRDefault="00D205B5" w:rsidP="00D205B5">
      <w:pPr>
        <w:rPr>
          <w:lang w:val="en" w:eastAsia="en-GB"/>
        </w:rPr>
      </w:pPr>
    </w:p>
    <w:p w:rsidR="00D205B5" w:rsidRPr="00D4544E" w:rsidRDefault="00D205B5" w:rsidP="00D205B5">
      <w:pPr>
        <w:rPr>
          <w:b/>
          <w:lang w:val="en" w:eastAsia="en-GB"/>
        </w:rPr>
      </w:pPr>
      <w:r w:rsidRPr="00D4544E">
        <w:rPr>
          <w:b/>
          <w:lang w:val="en" w:eastAsia="en-GB"/>
        </w:rPr>
        <w:t>Credit arrangements</w:t>
      </w:r>
    </w:p>
    <w:p w:rsidR="00D205B5" w:rsidRPr="00D4544E" w:rsidRDefault="00D205B5" w:rsidP="00D205B5">
      <w:pPr>
        <w:jc w:val="both"/>
        <w:rPr>
          <w:lang w:val="en" w:eastAsia="en-GB"/>
        </w:rPr>
      </w:pPr>
      <w:r w:rsidRPr="00D4544E">
        <w:rPr>
          <w:lang w:val="en" w:eastAsia="en-GB"/>
        </w:rPr>
        <w:t>Credit arrangements (</w:t>
      </w:r>
      <w:r w:rsidR="00A5699B" w:rsidRPr="00D4544E">
        <w:rPr>
          <w:lang w:val="en" w:eastAsia="en-GB"/>
        </w:rPr>
        <w:t>e.g.</w:t>
      </w:r>
      <w:r w:rsidRPr="00D4544E">
        <w:rPr>
          <w:lang w:val="en" w:eastAsia="en-GB"/>
        </w:rPr>
        <w:t xml:space="preserve"> property leasing, PFI and hire purchase) are treated like borrowing and the affordability assessment must take account not only of borrowing but also of credit arrangements. In addition, any national limit imposed under the reserve powers would apply to both borrowing and credit.</w:t>
      </w:r>
    </w:p>
    <w:p w:rsidR="00D205B5" w:rsidRPr="00D4544E" w:rsidRDefault="00D205B5" w:rsidP="00D205B5">
      <w:pPr>
        <w:rPr>
          <w:lang w:val="en" w:eastAsia="en-GB"/>
        </w:rPr>
      </w:pPr>
    </w:p>
    <w:p w:rsidR="00D205B5" w:rsidRPr="00D4544E" w:rsidRDefault="00D205B5" w:rsidP="00D205B5">
      <w:pPr>
        <w:rPr>
          <w:b/>
          <w:lang w:val="en" w:eastAsia="en-GB"/>
        </w:rPr>
      </w:pPr>
      <w:r w:rsidRPr="00D4544E">
        <w:rPr>
          <w:b/>
          <w:lang w:val="en" w:eastAsia="en-GB"/>
        </w:rPr>
        <w:t>Power to invest</w:t>
      </w:r>
    </w:p>
    <w:p w:rsidR="00D205B5" w:rsidRPr="00D4544E" w:rsidRDefault="00D205B5" w:rsidP="00D205B5">
      <w:pPr>
        <w:jc w:val="both"/>
        <w:rPr>
          <w:lang w:val="en" w:eastAsia="en-GB"/>
        </w:rPr>
      </w:pPr>
      <w:r w:rsidRPr="00D4544E">
        <w:rPr>
          <w:lang w:val="en" w:eastAsia="en-GB"/>
        </w:rPr>
        <w:t>The Council has the power to invest, not only for any purpose relevant to its functions but also for the purpose of the prudential management of its financial affairs.</w:t>
      </w:r>
    </w:p>
    <w:p w:rsidR="00D23AE5" w:rsidRDefault="00D23AE5" w:rsidP="00D205B5">
      <w:pPr>
        <w:rPr>
          <w:b/>
          <w:sz w:val="28"/>
          <w:u w:val="single"/>
        </w:rPr>
      </w:pPr>
    </w:p>
    <w:p w:rsidR="00D23AE5" w:rsidRPr="00D4544E" w:rsidRDefault="00D23AE5" w:rsidP="00D205B5">
      <w:pPr>
        <w:rPr>
          <w:b/>
          <w:sz w:val="28"/>
          <w:u w:val="single"/>
        </w:rPr>
      </w:pPr>
    </w:p>
    <w:p w:rsidR="00D205B5" w:rsidRPr="00D4544E" w:rsidRDefault="00D205B5" w:rsidP="00D205B5">
      <w:pPr>
        <w:rPr>
          <w:b/>
          <w:sz w:val="28"/>
          <w:u w:val="single"/>
        </w:rPr>
      </w:pPr>
      <w:r w:rsidRPr="00D4544E">
        <w:rPr>
          <w:b/>
          <w:sz w:val="28"/>
          <w:u w:val="single"/>
        </w:rPr>
        <w:t>2.  Department for Communities and Local Government Investment Guidance (March 2010)</w:t>
      </w:r>
    </w:p>
    <w:p w:rsidR="00D205B5" w:rsidRPr="00D4544E" w:rsidRDefault="00D205B5" w:rsidP="00D205B5">
      <w:pPr>
        <w:rPr>
          <w:b/>
          <w:sz w:val="28"/>
          <w:u w:val="single"/>
        </w:rPr>
      </w:pPr>
    </w:p>
    <w:p w:rsidR="00D205B5" w:rsidRPr="00D4544E" w:rsidRDefault="00D205B5" w:rsidP="00D205B5">
      <w:pPr>
        <w:jc w:val="both"/>
        <w:rPr>
          <w:szCs w:val="24"/>
        </w:rPr>
      </w:pPr>
      <w:r w:rsidRPr="00D4544E">
        <w:rPr>
          <w:szCs w:val="24"/>
        </w:rPr>
        <w:t>The Local Government Act 2003 requires a local authority “…..to have regard (a) to such guidance as the Secretary of State may issue…………..” and the current guidance became operative on 1 April 2010.</w:t>
      </w:r>
    </w:p>
    <w:p w:rsidR="00D205B5" w:rsidRPr="00D4544E" w:rsidRDefault="00D205B5" w:rsidP="00D205B5">
      <w:pPr>
        <w:rPr>
          <w:szCs w:val="24"/>
        </w:rPr>
      </w:pPr>
    </w:p>
    <w:p w:rsidR="00D205B5" w:rsidRPr="00D4544E" w:rsidRDefault="00D205B5" w:rsidP="00D205B5">
      <w:pPr>
        <w:shd w:val="clear" w:color="auto" w:fill="FFFFFF"/>
        <w:spacing w:line="288" w:lineRule="atLeast"/>
        <w:jc w:val="both"/>
        <w:outlineLvl w:val="5"/>
        <w:rPr>
          <w:rFonts w:cs="Arial"/>
          <w:color w:val="000000"/>
          <w:szCs w:val="24"/>
          <w:lang w:val="en" w:eastAsia="en-GB"/>
        </w:rPr>
      </w:pPr>
      <w:r w:rsidRPr="00D4544E">
        <w:rPr>
          <w:rFonts w:cs="Arial"/>
          <w:color w:val="000000"/>
          <w:szCs w:val="24"/>
          <w:lang w:val="en" w:eastAsia="en-GB"/>
        </w:rPr>
        <w:t>The Guidance recommends that for each financial year the Council should prepare at least one investment Strategy to be approved before the start of the year. The Strategy must cover:</w:t>
      </w:r>
    </w:p>
    <w:p w:rsidR="00D205B5" w:rsidRPr="00D4544E" w:rsidRDefault="00D205B5" w:rsidP="00D205B5">
      <w:pPr>
        <w:shd w:val="clear" w:color="auto" w:fill="FFFFFF"/>
        <w:spacing w:line="288" w:lineRule="atLeast"/>
        <w:outlineLvl w:val="5"/>
        <w:rPr>
          <w:rFonts w:cs="Arial"/>
          <w:color w:val="000000"/>
          <w:szCs w:val="24"/>
          <w:lang w:val="en" w:eastAsia="en-GB"/>
        </w:rPr>
      </w:pPr>
    </w:p>
    <w:p w:rsidR="00D205B5" w:rsidRPr="00D4544E" w:rsidRDefault="00D205B5" w:rsidP="00D205B5">
      <w:pPr>
        <w:numPr>
          <w:ilvl w:val="0"/>
          <w:numId w:val="10"/>
        </w:numPr>
        <w:shd w:val="clear" w:color="auto" w:fill="FFFFFF"/>
        <w:spacing w:line="288" w:lineRule="atLeast"/>
        <w:outlineLvl w:val="5"/>
        <w:rPr>
          <w:rFonts w:cs="Arial"/>
          <w:b/>
          <w:color w:val="000000"/>
          <w:szCs w:val="24"/>
          <w:lang w:val="en" w:eastAsia="en-GB"/>
        </w:rPr>
      </w:pPr>
      <w:r w:rsidRPr="00D4544E">
        <w:rPr>
          <w:rFonts w:cs="Arial"/>
          <w:b/>
          <w:color w:val="000000"/>
          <w:szCs w:val="24"/>
          <w:lang w:val="en" w:eastAsia="en-GB"/>
        </w:rPr>
        <w:t xml:space="preserve">Investment security  </w:t>
      </w:r>
    </w:p>
    <w:p w:rsidR="00D205B5" w:rsidRPr="00D4544E" w:rsidRDefault="00D205B5" w:rsidP="00D205B5">
      <w:pPr>
        <w:shd w:val="clear" w:color="auto" w:fill="FFFFFF"/>
        <w:spacing w:line="288" w:lineRule="atLeast"/>
        <w:ind w:left="1309"/>
        <w:jc w:val="both"/>
        <w:outlineLvl w:val="5"/>
        <w:rPr>
          <w:rFonts w:cs="Arial"/>
          <w:color w:val="000000"/>
          <w:szCs w:val="24"/>
          <w:lang w:val="en" w:eastAsia="en-GB"/>
        </w:rPr>
      </w:pPr>
      <w:r w:rsidRPr="00D4544E">
        <w:rPr>
          <w:rFonts w:cs="Arial"/>
          <w:color w:val="000000"/>
          <w:szCs w:val="24"/>
          <w:lang w:val="en" w:eastAsia="en-GB"/>
        </w:rPr>
        <w:t xml:space="preserve">Investments should be managed prudently with security and liquidity being considered ahead of yield </w:t>
      </w:r>
    </w:p>
    <w:p w:rsidR="00D205B5" w:rsidRDefault="00D205B5" w:rsidP="00D205B5">
      <w:pPr>
        <w:shd w:val="clear" w:color="auto" w:fill="FFFFFF"/>
        <w:spacing w:line="288" w:lineRule="atLeast"/>
        <w:ind w:left="1309"/>
        <w:jc w:val="both"/>
        <w:outlineLvl w:val="5"/>
        <w:rPr>
          <w:rFonts w:cs="Arial"/>
          <w:color w:val="000000"/>
          <w:szCs w:val="24"/>
          <w:lang w:val="en" w:eastAsia="en-GB"/>
        </w:rPr>
      </w:pPr>
      <w:r w:rsidRPr="00D4544E">
        <w:rPr>
          <w:rFonts w:cs="Arial"/>
          <w:color w:val="000000"/>
          <w:szCs w:val="24"/>
          <w:lang w:val="en" w:eastAsia="en-GB"/>
        </w:rPr>
        <w:t>Potential counterparties should be recognised as “specified” and “non-specified” with investment limits being defined to reflect the status of each counterparty</w:t>
      </w:r>
    </w:p>
    <w:p w:rsidR="00D23AE5" w:rsidRDefault="00D23AE5" w:rsidP="00D205B5">
      <w:pPr>
        <w:shd w:val="clear" w:color="auto" w:fill="FFFFFF"/>
        <w:spacing w:line="288" w:lineRule="atLeast"/>
        <w:ind w:left="1309"/>
        <w:jc w:val="both"/>
        <w:outlineLvl w:val="5"/>
        <w:rPr>
          <w:rFonts w:cs="Arial"/>
          <w:color w:val="000000"/>
          <w:szCs w:val="24"/>
          <w:lang w:val="en" w:eastAsia="en-GB"/>
        </w:rPr>
      </w:pPr>
    </w:p>
    <w:p w:rsidR="006F182A" w:rsidRDefault="006F182A" w:rsidP="00D205B5">
      <w:pPr>
        <w:shd w:val="clear" w:color="auto" w:fill="FFFFFF"/>
        <w:spacing w:line="288" w:lineRule="atLeast"/>
        <w:ind w:left="1309"/>
        <w:jc w:val="both"/>
        <w:outlineLvl w:val="5"/>
        <w:rPr>
          <w:rFonts w:cs="Arial"/>
          <w:color w:val="000000"/>
          <w:szCs w:val="24"/>
          <w:lang w:val="en" w:eastAsia="en-GB"/>
        </w:rPr>
      </w:pPr>
    </w:p>
    <w:p w:rsidR="00D205B5" w:rsidRPr="00D4544E" w:rsidRDefault="00D205B5" w:rsidP="00D205B5">
      <w:pPr>
        <w:numPr>
          <w:ilvl w:val="0"/>
          <w:numId w:val="10"/>
        </w:numPr>
        <w:shd w:val="clear" w:color="auto" w:fill="FFFFFF"/>
        <w:spacing w:line="288" w:lineRule="atLeast"/>
        <w:outlineLvl w:val="5"/>
        <w:rPr>
          <w:rFonts w:cs="Arial"/>
          <w:b/>
          <w:color w:val="000000"/>
          <w:szCs w:val="24"/>
          <w:lang w:val="en" w:eastAsia="en-GB"/>
        </w:rPr>
      </w:pPr>
      <w:r w:rsidRPr="00D4544E">
        <w:rPr>
          <w:rFonts w:cs="Arial"/>
          <w:b/>
          <w:color w:val="000000"/>
          <w:szCs w:val="24"/>
          <w:lang w:val="en" w:eastAsia="en-GB"/>
        </w:rPr>
        <w:t>Investment risk</w:t>
      </w:r>
    </w:p>
    <w:p w:rsidR="00D205B5" w:rsidRPr="00D4544E" w:rsidRDefault="00D205B5" w:rsidP="00D205B5">
      <w:pPr>
        <w:shd w:val="clear" w:color="auto" w:fill="FFFFFF"/>
        <w:spacing w:line="288" w:lineRule="atLeast"/>
        <w:ind w:left="1309"/>
        <w:jc w:val="both"/>
        <w:outlineLvl w:val="5"/>
        <w:rPr>
          <w:rFonts w:cs="Arial"/>
          <w:color w:val="000000"/>
          <w:szCs w:val="24"/>
          <w:lang w:val="en" w:eastAsia="en-GB"/>
        </w:rPr>
      </w:pPr>
      <w:r w:rsidRPr="00D4544E">
        <w:rPr>
          <w:rFonts w:cs="Arial"/>
          <w:color w:val="000000"/>
          <w:szCs w:val="24"/>
          <w:lang w:val="en" w:eastAsia="en-GB"/>
        </w:rPr>
        <w:t>Procedures should be established for monitoring, assessing and mitigating the risk of loss of invested sums and for ensuring that such sums are readily accessible for expenditure whenever needed.</w:t>
      </w:r>
    </w:p>
    <w:p w:rsidR="00D205B5" w:rsidRPr="00D4544E" w:rsidRDefault="00D205B5" w:rsidP="00D205B5">
      <w:pPr>
        <w:shd w:val="clear" w:color="auto" w:fill="FFFFFF"/>
        <w:spacing w:line="288" w:lineRule="atLeast"/>
        <w:ind w:left="1309"/>
        <w:jc w:val="both"/>
        <w:outlineLvl w:val="5"/>
        <w:rPr>
          <w:rFonts w:cs="Arial"/>
          <w:color w:val="000000"/>
          <w:szCs w:val="24"/>
          <w:lang w:val="en" w:eastAsia="en-GB"/>
        </w:rPr>
      </w:pPr>
      <w:r w:rsidRPr="00D4544E">
        <w:rPr>
          <w:rFonts w:cs="Arial"/>
          <w:color w:val="000000"/>
          <w:szCs w:val="24"/>
          <w:lang w:val="en" w:eastAsia="en-GB"/>
        </w:rPr>
        <w:t>The use of credit ratings and other risk assessment processes should be explained</w:t>
      </w:r>
    </w:p>
    <w:p w:rsidR="00D205B5" w:rsidRPr="00D4544E" w:rsidRDefault="00D205B5" w:rsidP="00D205B5">
      <w:pPr>
        <w:shd w:val="clear" w:color="auto" w:fill="FFFFFF"/>
        <w:spacing w:line="288" w:lineRule="atLeast"/>
        <w:ind w:left="589" w:firstLine="720"/>
        <w:jc w:val="both"/>
        <w:outlineLvl w:val="5"/>
        <w:rPr>
          <w:rFonts w:cs="Arial"/>
          <w:color w:val="000000"/>
          <w:szCs w:val="24"/>
          <w:lang w:val="en" w:eastAsia="en-GB"/>
        </w:rPr>
      </w:pPr>
      <w:r w:rsidRPr="00D4544E">
        <w:rPr>
          <w:rFonts w:cs="Arial"/>
          <w:color w:val="000000"/>
          <w:szCs w:val="24"/>
          <w:lang w:val="en" w:eastAsia="en-GB"/>
        </w:rPr>
        <w:t>The use of external advisers should be monitored</w:t>
      </w:r>
    </w:p>
    <w:p w:rsidR="00D205B5" w:rsidRPr="00D4544E" w:rsidRDefault="00D205B5" w:rsidP="00D205B5">
      <w:pPr>
        <w:shd w:val="clear" w:color="auto" w:fill="FFFFFF"/>
        <w:spacing w:line="288" w:lineRule="atLeast"/>
        <w:ind w:left="1309"/>
        <w:jc w:val="both"/>
        <w:outlineLvl w:val="5"/>
        <w:rPr>
          <w:rFonts w:cs="Arial"/>
          <w:color w:val="000000"/>
          <w:szCs w:val="24"/>
          <w:lang w:val="en" w:eastAsia="en-GB"/>
        </w:rPr>
      </w:pPr>
      <w:r w:rsidRPr="00D4544E">
        <w:rPr>
          <w:rFonts w:cs="Arial"/>
          <w:color w:val="000000"/>
          <w:szCs w:val="24"/>
          <w:lang w:val="en" w:eastAsia="en-GB"/>
        </w:rPr>
        <w:t>The training requirements for treasury management staff should be reviewed and addressed</w:t>
      </w:r>
    </w:p>
    <w:p w:rsidR="00D205B5" w:rsidRPr="00D4544E" w:rsidRDefault="00D205B5" w:rsidP="00D205B5">
      <w:pPr>
        <w:shd w:val="clear" w:color="auto" w:fill="FFFFFF"/>
        <w:spacing w:line="288" w:lineRule="atLeast"/>
        <w:ind w:left="1309"/>
        <w:jc w:val="both"/>
        <w:outlineLvl w:val="5"/>
        <w:rPr>
          <w:rFonts w:cs="Arial"/>
          <w:color w:val="000000"/>
          <w:szCs w:val="24"/>
          <w:lang w:val="en" w:eastAsia="en-GB"/>
        </w:rPr>
      </w:pPr>
      <w:r w:rsidRPr="00D4544E">
        <w:rPr>
          <w:rFonts w:cs="Arial"/>
          <w:color w:val="000000"/>
          <w:szCs w:val="24"/>
          <w:lang w:val="en" w:eastAsia="en-GB"/>
        </w:rPr>
        <w:t>Specific policies should be stated as regards borrowing money in   advance of need</w:t>
      </w:r>
    </w:p>
    <w:p w:rsidR="00D205B5" w:rsidRPr="00D4544E" w:rsidRDefault="00D205B5" w:rsidP="00D205B5">
      <w:pPr>
        <w:shd w:val="clear" w:color="auto" w:fill="FFFFFF"/>
        <w:spacing w:line="288" w:lineRule="atLeast"/>
        <w:ind w:left="1309" w:hanging="1309"/>
        <w:outlineLvl w:val="5"/>
        <w:rPr>
          <w:rFonts w:cs="Arial"/>
          <w:color w:val="000000"/>
          <w:szCs w:val="24"/>
          <w:lang w:val="en" w:eastAsia="en-GB"/>
        </w:rPr>
      </w:pPr>
    </w:p>
    <w:p w:rsidR="00D205B5" w:rsidRPr="00D4544E" w:rsidRDefault="00D205B5" w:rsidP="00D205B5">
      <w:pPr>
        <w:numPr>
          <w:ilvl w:val="0"/>
          <w:numId w:val="10"/>
        </w:numPr>
        <w:shd w:val="clear" w:color="auto" w:fill="FFFFFF"/>
        <w:spacing w:line="288" w:lineRule="atLeast"/>
        <w:outlineLvl w:val="5"/>
        <w:rPr>
          <w:rFonts w:cs="Arial"/>
          <w:b/>
          <w:color w:val="000000"/>
          <w:szCs w:val="24"/>
          <w:lang w:val="en" w:eastAsia="en-GB"/>
        </w:rPr>
      </w:pPr>
      <w:r w:rsidRPr="00D4544E">
        <w:rPr>
          <w:rFonts w:cs="Arial"/>
          <w:b/>
          <w:color w:val="000000"/>
          <w:szCs w:val="24"/>
          <w:lang w:val="en" w:eastAsia="en-GB"/>
        </w:rPr>
        <w:t>Investment Liquidity</w:t>
      </w:r>
    </w:p>
    <w:p w:rsidR="00D205B5" w:rsidRPr="00D4544E" w:rsidRDefault="00D205B5" w:rsidP="00D205B5">
      <w:pPr>
        <w:shd w:val="clear" w:color="auto" w:fill="FFFFFF"/>
        <w:spacing w:line="288" w:lineRule="atLeast"/>
        <w:ind w:left="1309"/>
        <w:outlineLvl w:val="5"/>
        <w:rPr>
          <w:rFonts w:cs="Arial"/>
          <w:color w:val="000000"/>
          <w:szCs w:val="24"/>
          <w:lang w:val="en" w:eastAsia="en-GB"/>
        </w:rPr>
      </w:pPr>
      <w:r w:rsidRPr="00D4544E">
        <w:rPr>
          <w:rFonts w:cs="Arial"/>
          <w:color w:val="000000"/>
          <w:szCs w:val="24"/>
          <w:lang w:val="en" w:eastAsia="en-GB"/>
        </w:rPr>
        <w:t>The Strategy should set out procedures for determining the maximum periods for which funds may prudently be committed</w:t>
      </w:r>
    </w:p>
    <w:p w:rsidR="00D205B5" w:rsidRPr="00D4544E" w:rsidRDefault="00D205B5" w:rsidP="00D205B5">
      <w:pPr>
        <w:shd w:val="clear" w:color="auto" w:fill="FFFFFF"/>
        <w:spacing w:line="288" w:lineRule="atLeast"/>
        <w:ind w:left="1309" w:hanging="1309"/>
        <w:outlineLvl w:val="5"/>
        <w:rPr>
          <w:rFonts w:cs="Arial"/>
          <w:color w:val="000000"/>
          <w:szCs w:val="24"/>
          <w:lang w:val="en" w:eastAsia="en-GB"/>
        </w:rPr>
      </w:pPr>
    </w:p>
    <w:p w:rsidR="00D205B5" w:rsidRPr="00D4544E" w:rsidRDefault="00D205B5" w:rsidP="00D205B5">
      <w:pPr>
        <w:shd w:val="clear" w:color="auto" w:fill="FFFFFF"/>
        <w:spacing w:line="288" w:lineRule="atLeast"/>
        <w:outlineLvl w:val="5"/>
        <w:rPr>
          <w:rFonts w:cs="Arial"/>
          <w:color w:val="000000"/>
          <w:szCs w:val="24"/>
          <w:lang w:val="en" w:eastAsia="en-GB"/>
        </w:rPr>
      </w:pPr>
      <w:r w:rsidRPr="00D4544E">
        <w:rPr>
          <w:rFonts w:cs="Arial"/>
          <w:color w:val="000000"/>
          <w:szCs w:val="24"/>
          <w:lang w:val="en" w:eastAsia="en-GB"/>
        </w:rPr>
        <w:t>The Strategy should be approved by the full Council and made available to the public free of charge. Subject to full Council approval, or approved delegations, the Strategy can be revised during the year.</w:t>
      </w:r>
    </w:p>
    <w:p w:rsidR="00D23AE5" w:rsidRDefault="00D23AE5" w:rsidP="00D205B5">
      <w:pPr>
        <w:shd w:val="clear" w:color="auto" w:fill="FFFFFF"/>
        <w:spacing w:line="288" w:lineRule="atLeast"/>
        <w:outlineLvl w:val="5"/>
        <w:rPr>
          <w:rFonts w:cs="Arial"/>
          <w:color w:val="000000"/>
          <w:szCs w:val="24"/>
          <w:lang w:val="en" w:eastAsia="en-GB"/>
        </w:rPr>
      </w:pPr>
    </w:p>
    <w:p w:rsidR="00D23AE5" w:rsidRPr="00D4544E" w:rsidRDefault="00D23AE5" w:rsidP="00D205B5">
      <w:pPr>
        <w:shd w:val="clear" w:color="auto" w:fill="FFFFFF"/>
        <w:spacing w:line="288" w:lineRule="atLeast"/>
        <w:outlineLvl w:val="5"/>
        <w:rPr>
          <w:rFonts w:cs="Arial"/>
          <w:color w:val="000000"/>
          <w:szCs w:val="24"/>
          <w:lang w:val="en" w:eastAsia="en-GB"/>
        </w:rPr>
      </w:pPr>
    </w:p>
    <w:p w:rsidR="00D205B5" w:rsidRPr="00133B17" w:rsidRDefault="00D205B5" w:rsidP="00D205B5">
      <w:pPr>
        <w:jc w:val="both"/>
        <w:rPr>
          <w:b/>
          <w:sz w:val="28"/>
          <w:szCs w:val="28"/>
          <w:u w:val="single"/>
        </w:rPr>
      </w:pPr>
      <w:r w:rsidRPr="00133B17">
        <w:rPr>
          <w:b/>
          <w:sz w:val="28"/>
          <w:szCs w:val="28"/>
          <w:u w:val="single"/>
        </w:rPr>
        <w:t>3.</w:t>
      </w:r>
      <w:r w:rsidR="00D23AE5" w:rsidRPr="00133B17">
        <w:rPr>
          <w:b/>
          <w:sz w:val="28"/>
          <w:szCs w:val="28"/>
          <w:u w:val="single"/>
        </w:rPr>
        <w:t xml:space="preserve"> </w:t>
      </w:r>
      <w:r w:rsidRPr="00133B17">
        <w:rPr>
          <w:b/>
          <w:sz w:val="28"/>
          <w:szCs w:val="28"/>
          <w:u w:val="single"/>
        </w:rPr>
        <w:t xml:space="preserve"> Treasury Management in the Public Services: Code of Practice and Cross-Sectoral Guidance Notes (CIPFA </w:t>
      </w:r>
      <w:r w:rsidR="00391E96" w:rsidRPr="00133B17">
        <w:rPr>
          <w:b/>
          <w:sz w:val="28"/>
          <w:szCs w:val="28"/>
          <w:u w:val="single"/>
        </w:rPr>
        <w:t>2017</w:t>
      </w:r>
      <w:r w:rsidRPr="00133B17">
        <w:rPr>
          <w:b/>
          <w:sz w:val="28"/>
          <w:szCs w:val="28"/>
          <w:u w:val="single"/>
        </w:rPr>
        <w:t>)</w:t>
      </w:r>
    </w:p>
    <w:p w:rsidR="00D205B5" w:rsidRPr="00133B17" w:rsidRDefault="00D205B5" w:rsidP="00D205B5">
      <w:pPr>
        <w:jc w:val="both"/>
        <w:rPr>
          <w:b/>
          <w:sz w:val="28"/>
          <w:szCs w:val="28"/>
          <w:u w:val="single"/>
        </w:rPr>
      </w:pPr>
    </w:p>
    <w:p w:rsidR="00D205B5" w:rsidRPr="00133B17" w:rsidRDefault="00D205B5" w:rsidP="00D205B5">
      <w:pPr>
        <w:jc w:val="both"/>
        <w:rPr>
          <w:rFonts w:cs="Arial"/>
          <w:iCs/>
          <w:szCs w:val="24"/>
        </w:rPr>
      </w:pPr>
      <w:r w:rsidRPr="00133B17">
        <w:rPr>
          <w:rFonts w:cs="Arial"/>
          <w:iCs/>
          <w:szCs w:val="24"/>
        </w:rPr>
        <w:t>The primary requirements of the Code are:</w:t>
      </w:r>
    </w:p>
    <w:p w:rsidR="00D205B5" w:rsidRPr="00133B17" w:rsidRDefault="00D205B5" w:rsidP="00D205B5">
      <w:pPr>
        <w:jc w:val="both"/>
        <w:rPr>
          <w:rFonts w:cs="Arial"/>
          <w:iCs/>
          <w:szCs w:val="24"/>
        </w:rPr>
      </w:pPr>
    </w:p>
    <w:p w:rsidR="00D205B5" w:rsidRPr="00133B17" w:rsidRDefault="00D205B5" w:rsidP="00D205B5">
      <w:pPr>
        <w:numPr>
          <w:ilvl w:val="0"/>
          <w:numId w:val="6"/>
        </w:numPr>
        <w:jc w:val="both"/>
        <w:rPr>
          <w:rFonts w:cs="Arial"/>
          <w:szCs w:val="24"/>
        </w:rPr>
      </w:pPr>
      <w:r w:rsidRPr="00133B17">
        <w:rPr>
          <w:rFonts w:cs="Arial"/>
          <w:szCs w:val="24"/>
        </w:rPr>
        <w:t>Creation and maintenance of a Treasury Management Policy Statement which sets out the policies and objectives of the Council’s treasury management activities.</w:t>
      </w:r>
    </w:p>
    <w:p w:rsidR="00D205B5" w:rsidRPr="00133B17" w:rsidRDefault="00D205B5" w:rsidP="00D205B5">
      <w:pPr>
        <w:ind w:left="567"/>
        <w:jc w:val="both"/>
        <w:rPr>
          <w:rFonts w:cs="Arial"/>
          <w:szCs w:val="24"/>
        </w:rPr>
      </w:pPr>
    </w:p>
    <w:p w:rsidR="00D205B5" w:rsidRPr="00133B17" w:rsidRDefault="00D205B5" w:rsidP="00D205B5">
      <w:pPr>
        <w:numPr>
          <w:ilvl w:val="1"/>
          <w:numId w:val="6"/>
        </w:numPr>
        <w:jc w:val="both"/>
        <w:rPr>
          <w:rFonts w:cs="Arial"/>
          <w:szCs w:val="24"/>
        </w:rPr>
      </w:pPr>
      <w:r w:rsidRPr="00133B17">
        <w:rPr>
          <w:rFonts w:cs="Arial"/>
          <w:szCs w:val="24"/>
        </w:rPr>
        <w:t>Creation and maintenance of Treasury Management Practices (“TMPs”) that set out the manner in which the Council will seek to achieve those policies and objectives.</w:t>
      </w:r>
    </w:p>
    <w:p w:rsidR="00D205B5" w:rsidRPr="00133B17" w:rsidRDefault="00D205B5" w:rsidP="00D205B5">
      <w:pPr>
        <w:jc w:val="both"/>
        <w:rPr>
          <w:rFonts w:cs="Arial"/>
          <w:szCs w:val="24"/>
        </w:rPr>
      </w:pPr>
    </w:p>
    <w:p w:rsidR="00D205B5" w:rsidRPr="00133B17" w:rsidRDefault="00D205B5" w:rsidP="00D205B5">
      <w:pPr>
        <w:numPr>
          <w:ilvl w:val="1"/>
          <w:numId w:val="7"/>
        </w:numPr>
        <w:jc w:val="both"/>
        <w:rPr>
          <w:rFonts w:cs="Arial"/>
          <w:szCs w:val="24"/>
        </w:rPr>
      </w:pPr>
      <w:r w:rsidRPr="00133B17">
        <w:rPr>
          <w:rFonts w:cs="Arial"/>
          <w:szCs w:val="24"/>
        </w:rPr>
        <w:t>Receipt by the full Council or Cabinet of an annual Treasury Management Strategy Statement - including the Annual Investment Strategy and Minimum Revenue Provision Policy - for the year ahead, a Half-year Review Report and an Annual Report (stewardship report) covering activities during the previous year.</w:t>
      </w:r>
    </w:p>
    <w:p w:rsidR="00D205B5" w:rsidRPr="00133B17" w:rsidRDefault="00D205B5" w:rsidP="00D205B5">
      <w:pPr>
        <w:jc w:val="both"/>
        <w:rPr>
          <w:rFonts w:cs="Arial"/>
          <w:szCs w:val="24"/>
        </w:rPr>
      </w:pPr>
    </w:p>
    <w:p w:rsidR="00D205B5" w:rsidRPr="00133B17" w:rsidRDefault="00D205B5" w:rsidP="00D205B5">
      <w:pPr>
        <w:numPr>
          <w:ilvl w:val="1"/>
          <w:numId w:val="8"/>
        </w:numPr>
        <w:jc w:val="both"/>
        <w:rPr>
          <w:rFonts w:cs="Arial"/>
          <w:szCs w:val="24"/>
        </w:rPr>
      </w:pPr>
      <w:r w:rsidRPr="00133B17">
        <w:rPr>
          <w:rFonts w:cs="Arial"/>
          <w:szCs w:val="24"/>
        </w:rPr>
        <w:t>Delegation by the Council of responsibilities for implementing and monitoring treasury management policies and practices and for the execution and administration of treasury management decisions.</w:t>
      </w:r>
    </w:p>
    <w:p w:rsidR="00D205B5" w:rsidRPr="00133B17" w:rsidRDefault="00D205B5" w:rsidP="00D205B5">
      <w:pPr>
        <w:jc w:val="both"/>
        <w:rPr>
          <w:rFonts w:cs="Arial"/>
          <w:szCs w:val="24"/>
        </w:rPr>
      </w:pPr>
    </w:p>
    <w:p w:rsidR="00D205B5" w:rsidRPr="00133B17" w:rsidRDefault="00D205B5" w:rsidP="00D205B5">
      <w:pPr>
        <w:numPr>
          <w:ilvl w:val="1"/>
          <w:numId w:val="9"/>
        </w:numPr>
        <w:jc w:val="both"/>
        <w:rPr>
          <w:rFonts w:cs="Arial"/>
          <w:szCs w:val="24"/>
        </w:rPr>
      </w:pPr>
      <w:r w:rsidRPr="00133B17">
        <w:rPr>
          <w:rFonts w:cs="Arial"/>
          <w:szCs w:val="24"/>
        </w:rPr>
        <w:t xml:space="preserve">Delegation by the Council of the role of scrutiny of treasury management strategy and policies to a specific named body.   </w:t>
      </w:r>
    </w:p>
    <w:p w:rsidR="008D3302" w:rsidRPr="00133B17" w:rsidRDefault="008D3302" w:rsidP="00D205B5">
      <w:pPr>
        <w:jc w:val="both"/>
        <w:rPr>
          <w:b/>
          <w:sz w:val="28"/>
          <w:szCs w:val="28"/>
          <w:u w:val="single"/>
        </w:rPr>
      </w:pPr>
    </w:p>
    <w:p w:rsidR="00D23AE5" w:rsidRPr="003E0CB8" w:rsidRDefault="00D23AE5" w:rsidP="00D205B5">
      <w:pPr>
        <w:jc w:val="both"/>
        <w:rPr>
          <w:b/>
          <w:sz w:val="28"/>
          <w:szCs w:val="28"/>
          <w:highlight w:val="yellow"/>
          <w:u w:val="single"/>
        </w:rPr>
      </w:pPr>
    </w:p>
    <w:p w:rsidR="00D23AE5" w:rsidRPr="003E0CB8" w:rsidRDefault="00D23AE5" w:rsidP="00D205B5">
      <w:pPr>
        <w:jc w:val="both"/>
        <w:rPr>
          <w:b/>
          <w:sz w:val="28"/>
          <w:szCs w:val="28"/>
          <w:highlight w:val="yellow"/>
          <w:u w:val="single"/>
        </w:rPr>
      </w:pPr>
    </w:p>
    <w:p w:rsidR="00D205B5" w:rsidRPr="00133B17" w:rsidRDefault="00D205B5" w:rsidP="00D205B5">
      <w:pPr>
        <w:jc w:val="both"/>
        <w:rPr>
          <w:b/>
          <w:sz w:val="28"/>
          <w:szCs w:val="28"/>
          <w:u w:val="single"/>
        </w:rPr>
      </w:pPr>
      <w:r w:rsidRPr="00133B17">
        <w:rPr>
          <w:b/>
          <w:sz w:val="28"/>
          <w:szCs w:val="28"/>
          <w:u w:val="single"/>
        </w:rPr>
        <w:t xml:space="preserve">4. </w:t>
      </w:r>
      <w:r w:rsidR="00D23AE5" w:rsidRPr="00133B17">
        <w:rPr>
          <w:b/>
          <w:sz w:val="28"/>
          <w:szCs w:val="28"/>
          <w:u w:val="single"/>
        </w:rPr>
        <w:t xml:space="preserve"> </w:t>
      </w:r>
      <w:r w:rsidRPr="00133B17">
        <w:rPr>
          <w:b/>
          <w:sz w:val="28"/>
          <w:szCs w:val="28"/>
          <w:u w:val="single"/>
        </w:rPr>
        <w:t>The Prudential Code for Capital Finance in Local Authorities (CIPFA 2011)</w:t>
      </w:r>
      <w:r w:rsidR="0059523A" w:rsidRPr="00133B17">
        <w:rPr>
          <w:b/>
          <w:sz w:val="28"/>
          <w:szCs w:val="28"/>
          <w:u w:val="single"/>
        </w:rPr>
        <w:t xml:space="preserve"> – Guidance </w:t>
      </w:r>
      <w:r w:rsidR="00391E96" w:rsidRPr="00133B17">
        <w:rPr>
          <w:b/>
          <w:sz w:val="28"/>
          <w:szCs w:val="28"/>
          <w:u w:val="single"/>
        </w:rPr>
        <w:t>2017</w:t>
      </w:r>
    </w:p>
    <w:p w:rsidR="00D205B5" w:rsidRPr="00133B17" w:rsidRDefault="00D205B5" w:rsidP="00D205B5">
      <w:pPr>
        <w:jc w:val="both"/>
        <w:rPr>
          <w:b/>
          <w:sz w:val="28"/>
          <w:szCs w:val="28"/>
          <w:u w:val="single"/>
        </w:rPr>
      </w:pPr>
    </w:p>
    <w:p w:rsidR="00D205B5" w:rsidRPr="00133B17" w:rsidRDefault="00D205B5" w:rsidP="00D205B5">
      <w:pPr>
        <w:rPr>
          <w:szCs w:val="24"/>
        </w:rPr>
      </w:pPr>
      <w:r w:rsidRPr="00133B17">
        <w:rPr>
          <w:szCs w:val="24"/>
        </w:rPr>
        <w:t>Compliance with the objectives of the Code by the Council should ensure that:</w:t>
      </w:r>
    </w:p>
    <w:p w:rsidR="00D205B5" w:rsidRPr="00133B17" w:rsidRDefault="00D205B5" w:rsidP="00D205B5">
      <w:pPr>
        <w:numPr>
          <w:ilvl w:val="1"/>
          <w:numId w:val="9"/>
        </w:numPr>
        <w:rPr>
          <w:szCs w:val="24"/>
        </w:rPr>
      </w:pPr>
      <w:r w:rsidRPr="00133B17">
        <w:rPr>
          <w:szCs w:val="24"/>
        </w:rPr>
        <w:t>Capital expenditure plans are affordable in terms of their implications on Council Tax and housing rents</w:t>
      </w:r>
    </w:p>
    <w:p w:rsidR="00D205B5" w:rsidRPr="00133B17" w:rsidRDefault="00D205B5" w:rsidP="00D205B5">
      <w:pPr>
        <w:numPr>
          <w:ilvl w:val="1"/>
          <w:numId w:val="9"/>
        </w:numPr>
        <w:rPr>
          <w:szCs w:val="24"/>
        </w:rPr>
      </w:pPr>
      <w:r w:rsidRPr="00133B17">
        <w:rPr>
          <w:szCs w:val="24"/>
        </w:rPr>
        <w:t>External borrowing and other long term liabilities are within prudent and sustainable levels</w:t>
      </w:r>
    </w:p>
    <w:p w:rsidR="00D205B5" w:rsidRPr="00133B17" w:rsidRDefault="00D205B5" w:rsidP="00D205B5">
      <w:pPr>
        <w:numPr>
          <w:ilvl w:val="1"/>
          <w:numId w:val="9"/>
        </w:numPr>
        <w:rPr>
          <w:szCs w:val="24"/>
        </w:rPr>
      </w:pPr>
      <w:r w:rsidRPr="00133B17">
        <w:rPr>
          <w:szCs w:val="24"/>
        </w:rPr>
        <w:t xml:space="preserve">Treasury management decisions are taken in accordance with good professional practice </w:t>
      </w:r>
    </w:p>
    <w:p w:rsidR="00D205B5" w:rsidRPr="00133B17" w:rsidRDefault="00D205B5" w:rsidP="00D205B5">
      <w:pPr>
        <w:jc w:val="right"/>
        <w:rPr>
          <w:sz w:val="28"/>
        </w:rPr>
      </w:pPr>
    </w:p>
    <w:p w:rsidR="00D205B5" w:rsidRPr="00133B17" w:rsidRDefault="00D205B5" w:rsidP="00D205B5">
      <w:pPr>
        <w:jc w:val="both"/>
        <w:rPr>
          <w:szCs w:val="24"/>
        </w:rPr>
      </w:pPr>
      <w:r w:rsidRPr="00133B17">
        <w:rPr>
          <w:szCs w:val="24"/>
        </w:rPr>
        <w:t>As part of the two codes of practice above the Council is required to:</w:t>
      </w:r>
    </w:p>
    <w:p w:rsidR="00D205B5" w:rsidRPr="00133B17" w:rsidRDefault="00D205B5" w:rsidP="00D205B5">
      <w:pPr>
        <w:numPr>
          <w:ilvl w:val="0"/>
          <w:numId w:val="11"/>
        </w:numPr>
        <w:tabs>
          <w:tab w:val="clear" w:pos="780"/>
          <w:tab w:val="num" w:pos="1276"/>
        </w:tabs>
        <w:ind w:left="1440" w:hanging="447"/>
        <w:jc w:val="both"/>
        <w:rPr>
          <w:szCs w:val="24"/>
        </w:rPr>
      </w:pPr>
      <w:r w:rsidRPr="00133B17">
        <w:rPr>
          <w:szCs w:val="24"/>
        </w:rPr>
        <w:t xml:space="preserve">agree a series of prudential indicators against which performance is measured </w:t>
      </w:r>
    </w:p>
    <w:p w:rsidR="00D205B5" w:rsidRPr="00133B17" w:rsidRDefault="00D205B5" w:rsidP="00D205B5">
      <w:pPr>
        <w:numPr>
          <w:ilvl w:val="0"/>
          <w:numId w:val="11"/>
        </w:numPr>
        <w:tabs>
          <w:tab w:val="clear" w:pos="780"/>
          <w:tab w:val="num" w:pos="1276"/>
        </w:tabs>
        <w:ind w:left="1276" w:hanging="283"/>
        <w:jc w:val="both"/>
        <w:rPr>
          <w:szCs w:val="24"/>
        </w:rPr>
      </w:pPr>
      <w:r w:rsidRPr="00133B17">
        <w:rPr>
          <w:szCs w:val="24"/>
        </w:rPr>
        <w:t xml:space="preserve">produce Treasury Management Practice Notes for officers which set out how treasury management policies and objectives are to be achieved and activities controlled. </w:t>
      </w:r>
    </w:p>
    <w:p w:rsidR="00D205B5" w:rsidRPr="00D4544E" w:rsidRDefault="00D23AE5" w:rsidP="00D205B5">
      <w:pPr>
        <w:jc w:val="right"/>
        <w:rPr>
          <w:b/>
          <w:sz w:val="32"/>
          <w:szCs w:val="32"/>
        </w:rPr>
      </w:pPr>
      <w:r>
        <w:rPr>
          <w:b/>
          <w:u w:val="single"/>
        </w:rPr>
        <w:br w:type="page"/>
      </w:r>
      <w:r w:rsidR="00CB1374">
        <w:rPr>
          <w:b/>
          <w:sz w:val="32"/>
          <w:szCs w:val="32"/>
        </w:rPr>
        <w:lastRenderedPageBreak/>
        <w:t>A</w:t>
      </w:r>
      <w:r w:rsidR="00D205B5" w:rsidRPr="00D4544E">
        <w:rPr>
          <w:b/>
          <w:sz w:val="32"/>
          <w:szCs w:val="32"/>
        </w:rPr>
        <w:t xml:space="preserve">PPENDIX </w:t>
      </w:r>
      <w:r w:rsidR="008D3302">
        <w:rPr>
          <w:b/>
          <w:sz w:val="32"/>
          <w:szCs w:val="32"/>
        </w:rPr>
        <w:t>B</w:t>
      </w:r>
    </w:p>
    <w:p w:rsidR="00D205B5" w:rsidRPr="00D4544E" w:rsidRDefault="00D205B5" w:rsidP="00D205B5">
      <w:pPr>
        <w:jc w:val="center"/>
        <w:rPr>
          <w:b/>
          <w:szCs w:val="24"/>
        </w:rPr>
      </w:pPr>
    </w:p>
    <w:p w:rsidR="00D205B5" w:rsidRPr="00D4544E" w:rsidRDefault="00D205B5" w:rsidP="00D205B5">
      <w:pPr>
        <w:rPr>
          <w:b/>
          <w:sz w:val="32"/>
          <w:szCs w:val="32"/>
        </w:rPr>
      </w:pPr>
      <w:r w:rsidRPr="00D4544E">
        <w:rPr>
          <w:b/>
          <w:sz w:val="32"/>
          <w:szCs w:val="32"/>
        </w:rPr>
        <w:t>TREASURY MANAGEMENT DELEGATIONS AND RESPONSIBILITIES</w:t>
      </w:r>
    </w:p>
    <w:p w:rsidR="00D205B5" w:rsidRPr="00D4544E" w:rsidRDefault="00D205B5" w:rsidP="00D205B5">
      <w:pPr>
        <w:jc w:val="center"/>
        <w:rPr>
          <w:b/>
          <w:szCs w:val="24"/>
        </w:rPr>
      </w:pPr>
    </w:p>
    <w:p w:rsidR="00D205B5" w:rsidRPr="00D4544E" w:rsidRDefault="00D205B5" w:rsidP="00D205B5">
      <w:pPr>
        <w:jc w:val="both"/>
        <w:rPr>
          <w:szCs w:val="24"/>
        </w:rPr>
      </w:pPr>
      <w:r w:rsidRPr="00D4544E">
        <w:rPr>
          <w:szCs w:val="24"/>
        </w:rPr>
        <w:t xml:space="preserve">The respective roles of the </w:t>
      </w:r>
      <w:r w:rsidR="00291CCE" w:rsidRPr="00D4544E">
        <w:rPr>
          <w:szCs w:val="24"/>
        </w:rPr>
        <w:t xml:space="preserve">Council, </w:t>
      </w:r>
      <w:r w:rsidRPr="00D4544E">
        <w:rPr>
          <w:szCs w:val="24"/>
        </w:rPr>
        <w:t>Cabinet, GARM</w:t>
      </w:r>
      <w:r w:rsidR="00291CCE" w:rsidRPr="00D4544E">
        <w:rPr>
          <w:szCs w:val="24"/>
        </w:rPr>
        <w:t>S</w:t>
      </w:r>
      <w:r w:rsidRPr="00D4544E">
        <w:rPr>
          <w:szCs w:val="24"/>
        </w:rPr>
        <w:t>C, the Section 151 officer, the Treasury Management Group</w:t>
      </w:r>
      <w:r w:rsidR="00291CCE" w:rsidRPr="00D4544E">
        <w:rPr>
          <w:szCs w:val="24"/>
        </w:rPr>
        <w:t xml:space="preserve"> the Treasury and Pension</w:t>
      </w:r>
      <w:r w:rsidR="003E0CB8">
        <w:rPr>
          <w:szCs w:val="24"/>
        </w:rPr>
        <w:t>s</w:t>
      </w:r>
      <w:r w:rsidR="00291CCE" w:rsidRPr="00D4544E">
        <w:rPr>
          <w:szCs w:val="24"/>
        </w:rPr>
        <w:t xml:space="preserve"> Manager</w:t>
      </w:r>
      <w:r w:rsidRPr="00D4544E">
        <w:rPr>
          <w:szCs w:val="24"/>
        </w:rPr>
        <w:t xml:space="preserve"> and the Treasury Team are summarised below.  Further details are set out in the Treasury Management Practices.</w:t>
      </w:r>
    </w:p>
    <w:p w:rsidR="00D205B5" w:rsidRPr="00D4544E" w:rsidRDefault="00D205B5" w:rsidP="00D205B5">
      <w:pPr>
        <w:jc w:val="both"/>
        <w:rPr>
          <w:szCs w:val="24"/>
        </w:rPr>
      </w:pPr>
    </w:p>
    <w:p w:rsidR="00D205B5" w:rsidRPr="00D4544E" w:rsidRDefault="00D205B5" w:rsidP="00D205B5">
      <w:pPr>
        <w:jc w:val="both"/>
        <w:rPr>
          <w:b/>
          <w:u w:val="single"/>
        </w:rPr>
      </w:pPr>
      <w:r w:rsidRPr="00D4544E">
        <w:rPr>
          <w:b/>
          <w:u w:val="single"/>
        </w:rPr>
        <w:t>Council</w:t>
      </w:r>
    </w:p>
    <w:p w:rsidR="00D205B5" w:rsidRPr="00D4544E" w:rsidRDefault="00D205B5" w:rsidP="00D205B5">
      <w:pPr>
        <w:jc w:val="both"/>
        <w:rPr>
          <w:b/>
        </w:rPr>
      </w:pPr>
    </w:p>
    <w:p w:rsidR="004F0C6E" w:rsidRPr="00D4544E" w:rsidRDefault="004F0C6E" w:rsidP="004F0C6E">
      <w:pPr>
        <w:autoSpaceDE w:val="0"/>
        <w:autoSpaceDN w:val="0"/>
        <w:adjustRightInd w:val="0"/>
        <w:rPr>
          <w:rFonts w:cs="Arial"/>
          <w:color w:val="000000"/>
          <w:szCs w:val="24"/>
          <w:lang w:eastAsia="en-GB"/>
        </w:rPr>
      </w:pPr>
      <w:r w:rsidRPr="00D4544E">
        <w:rPr>
          <w:rFonts w:cs="Arial"/>
          <w:color w:val="000000"/>
          <w:szCs w:val="24"/>
          <w:lang w:eastAsia="en-GB"/>
        </w:rPr>
        <w:t>Under the Constitution, the Council is responsible for “decisions relating to the control of the Council’s borrowing requirement.”</w:t>
      </w:r>
    </w:p>
    <w:p w:rsidR="004F0C6E" w:rsidRPr="00D4544E" w:rsidRDefault="004F0C6E" w:rsidP="004F0C6E">
      <w:pPr>
        <w:autoSpaceDE w:val="0"/>
        <w:autoSpaceDN w:val="0"/>
        <w:adjustRightInd w:val="0"/>
        <w:rPr>
          <w:rFonts w:cs="Arial"/>
          <w:color w:val="000000"/>
          <w:szCs w:val="24"/>
          <w:lang w:eastAsia="en-GB"/>
        </w:rPr>
      </w:pPr>
    </w:p>
    <w:p w:rsidR="004F0C6E" w:rsidRPr="00D4544E" w:rsidRDefault="004F0C6E" w:rsidP="004F0C6E">
      <w:pPr>
        <w:autoSpaceDE w:val="0"/>
        <w:autoSpaceDN w:val="0"/>
        <w:adjustRightInd w:val="0"/>
        <w:jc w:val="both"/>
        <w:rPr>
          <w:rFonts w:cs="Arial"/>
          <w:color w:val="000000"/>
          <w:szCs w:val="24"/>
          <w:lang w:eastAsia="en-GB"/>
        </w:rPr>
      </w:pPr>
      <w:r w:rsidRPr="00D4544E">
        <w:rPr>
          <w:rFonts w:cs="Arial"/>
          <w:color w:val="000000"/>
          <w:szCs w:val="24"/>
          <w:lang w:eastAsia="en-GB"/>
        </w:rPr>
        <w:t>It agrees the annual Treasury Management Strategy Statement including Prudential Indicators, Minimum Revenue Provision Policy Statement and</w:t>
      </w:r>
      <w:r w:rsidR="003E0CB8">
        <w:rPr>
          <w:rFonts w:cs="Arial"/>
          <w:color w:val="000000"/>
          <w:szCs w:val="24"/>
          <w:lang w:eastAsia="en-GB"/>
        </w:rPr>
        <w:t xml:space="preserve"> </w:t>
      </w:r>
      <w:r w:rsidRPr="00D4544E">
        <w:rPr>
          <w:rFonts w:cs="Arial"/>
          <w:color w:val="000000"/>
          <w:szCs w:val="24"/>
          <w:lang w:eastAsia="en-GB"/>
        </w:rPr>
        <w:t>Annual Investment Strategy.</w:t>
      </w:r>
    </w:p>
    <w:p w:rsidR="004F0C6E" w:rsidRPr="00D4544E" w:rsidRDefault="004F0C6E" w:rsidP="00D205B5">
      <w:pPr>
        <w:jc w:val="both"/>
        <w:rPr>
          <w:b/>
        </w:rPr>
      </w:pPr>
    </w:p>
    <w:p w:rsidR="00D205B5" w:rsidRPr="00D4544E" w:rsidRDefault="00D205B5" w:rsidP="00D205B5">
      <w:pPr>
        <w:jc w:val="both"/>
        <w:rPr>
          <w:b/>
          <w:u w:val="single"/>
        </w:rPr>
      </w:pPr>
      <w:r w:rsidRPr="00D4544E">
        <w:rPr>
          <w:b/>
          <w:u w:val="single"/>
        </w:rPr>
        <w:t>Cabinet</w:t>
      </w:r>
    </w:p>
    <w:p w:rsidR="00D205B5" w:rsidRPr="00D4544E" w:rsidRDefault="00D205B5" w:rsidP="00D205B5">
      <w:pPr>
        <w:jc w:val="both"/>
      </w:pPr>
    </w:p>
    <w:p w:rsidR="004F0C6E" w:rsidRPr="00D4544E" w:rsidRDefault="004F0C6E" w:rsidP="004F0C6E">
      <w:pPr>
        <w:autoSpaceDE w:val="0"/>
        <w:autoSpaceDN w:val="0"/>
        <w:adjustRightInd w:val="0"/>
        <w:rPr>
          <w:rFonts w:ascii="TTC6E5o00" w:hAnsi="TTC6E5o00" w:cs="TTC6E5o00"/>
          <w:szCs w:val="24"/>
          <w:lang w:eastAsia="en-GB"/>
        </w:rPr>
      </w:pPr>
      <w:r w:rsidRPr="00D4544E">
        <w:rPr>
          <w:rFonts w:ascii="TTC6E5o00" w:hAnsi="TTC6E5o00" w:cs="TTC6E5o00"/>
          <w:szCs w:val="24"/>
          <w:lang w:eastAsia="en-GB"/>
        </w:rPr>
        <w:t>Under the Constitution, the Cabinet “will exercise all of the local authority functions which are not the responsibility of any other part of the local authority, whether by law or under this Constitution.”</w:t>
      </w:r>
    </w:p>
    <w:p w:rsidR="004F0C6E" w:rsidRPr="00D4544E" w:rsidRDefault="004F0C6E" w:rsidP="004F0C6E">
      <w:pPr>
        <w:autoSpaceDE w:val="0"/>
        <w:autoSpaceDN w:val="0"/>
        <w:adjustRightInd w:val="0"/>
      </w:pPr>
    </w:p>
    <w:p w:rsidR="004F0C6E" w:rsidRPr="00D4544E" w:rsidRDefault="004F0C6E" w:rsidP="004F0C6E">
      <w:pPr>
        <w:jc w:val="both"/>
      </w:pPr>
      <w:r w:rsidRPr="00D4544E">
        <w:rPr>
          <w:rFonts w:cs="Arial"/>
          <w:color w:val="000000"/>
          <w:szCs w:val="24"/>
          <w:lang w:eastAsia="en-GB"/>
        </w:rPr>
        <w:t>It considers and recommends to Council the annual Treasury Management Strategy Statement and receives a mid-year report and annual outturn report on Treasury Management activities.</w:t>
      </w:r>
    </w:p>
    <w:p w:rsidR="004F0C6E" w:rsidRPr="00D4544E" w:rsidRDefault="004F0C6E" w:rsidP="00D205B5">
      <w:pPr>
        <w:jc w:val="both"/>
      </w:pPr>
    </w:p>
    <w:p w:rsidR="00D205B5" w:rsidRPr="00D4544E" w:rsidRDefault="00D205B5" w:rsidP="00D205B5">
      <w:pPr>
        <w:jc w:val="both"/>
        <w:rPr>
          <w:b/>
          <w:u w:val="single"/>
        </w:rPr>
      </w:pPr>
      <w:r w:rsidRPr="00D4544E">
        <w:rPr>
          <w:b/>
          <w:u w:val="single"/>
        </w:rPr>
        <w:t>Governance, Audit, Risk Management and Standards Committee</w:t>
      </w:r>
    </w:p>
    <w:p w:rsidR="00D205B5" w:rsidRPr="00D4544E" w:rsidRDefault="00D205B5" w:rsidP="00D205B5">
      <w:pPr>
        <w:jc w:val="both"/>
        <w:rPr>
          <w:b/>
        </w:rPr>
      </w:pPr>
    </w:p>
    <w:p w:rsidR="00D205B5" w:rsidRPr="00D4544E" w:rsidRDefault="00D205B5" w:rsidP="00D205B5">
      <w:pPr>
        <w:jc w:val="both"/>
      </w:pPr>
      <w:r w:rsidRPr="00D4544E">
        <w:t xml:space="preserve">GARMSC </w:t>
      </w:r>
      <w:r w:rsidR="004F0C6E" w:rsidRPr="00D4544E">
        <w:t>reviews the Treasury Management Strategy and monitors progress on treasury management in accordance with CIPFA codes of practice.</w:t>
      </w:r>
    </w:p>
    <w:p w:rsidR="004F0C6E" w:rsidRPr="00D4544E" w:rsidRDefault="004F0C6E" w:rsidP="00D205B5">
      <w:pPr>
        <w:jc w:val="both"/>
      </w:pPr>
    </w:p>
    <w:p w:rsidR="00D205B5" w:rsidRPr="00D4544E" w:rsidRDefault="004F0C6E" w:rsidP="00D205B5">
      <w:pPr>
        <w:jc w:val="both"/>
        <w:rPr>
          <w:b/>
          <w:u w:val="single"/>
        </w:rPr>
      </w:pPr>
      <w:r w:rsidRPr="00D4544E">
        <w:rPr>
          <w:b/>
          <w:u w:val="single"/>
        </w:rPr>
        <w:t>Director of Finance (</w:t>
      </w:r>
      <w:r w:rsidR="00D205B5" w:rsidRPr="00D4544E">
        <w:rPr>
          <w:b/>
          <w:u w:val="single"/>
        </w:rPr>
        <w:t>Section 151 Officer</w:t>
      </w:r>
      <w:r w:rsidRPr="00D4544E">
        <w:rPr>
          <w:b/>
          <w:u w:val="single"/>
        </w:rPr>
        <w:t>)</w:t>
      </w:r>
      <w:r w:rsidR="00D205B5" w:rsidRPr="00D4544E">
        <w:rPr>
          <w:b/>
          <w:u w:val="single"/>
        </w:rPr>
        <w:t xml:space="preserve">  </w:t>
      </w:r>
    </w:p>
    <w:p w:rsidR="00D205B5" w:rsidRPr="00D4544E" w:rsidRDefault="00D205B5" w:rsidP="00D205B5">
      <w:pPr>
        <w:jc w:val="both"/>
        <w:rPr>
          <w:b/>
        </w:rPr>
      </w:pPr>
    </w:p>
    <w:p w:rsidR="004F0C6E" w:rsidRPr="00D4544E" w:rsidRDefault="004F0C6E" w:rsidP="004F0C6E">
      <w:pPr>
        <w:jc w:val="both"/>
        <w:rPr>
          <w:rFonts w:cs="Arial"/>
          <w:color w:val="000000"/>
          <w:szCs w:val="24"/>
          <w:lang w:val="en" w:eastAsia="en-GB"/>
        </w:rPr>
      </w:pPr>
      <w:r w:rsidRPr="00D4544E">
        <w:rPr>
          <w:szCs w:val="24"/>
        </w:rPr>
        <w:t>Under S151 of the Local Government Act 1972 the Council “</w:t>
      </w:r>
      <w:r w:rsidRPr="00D4544E">
        <w:rPr>
          <w:rFonts w:cs="Arial"/>
          <w:color w:val="000000"/>
          <w:szCs w:val="24"/>
          <w:lang w:val="en" w:eastAsia="en-GB"/>
        </w:rPr>
        <w:t>shall make arrangements for the proper administration of their financial affairs and shall secure that one of their officers has responsibility for the administration of those affairs.”  At Harrow, this responsibility is exercised by the Director of Finance.</w:t>
      </w:r>
    </w:p>
    <w:p w:rsidR="004F0C6E" w:rsidRPr="00D4544E" w:rsidRDefault="004F0C6E" w:rsidP="004F0C6E">
      <w:pPr>
        <w:jc w:val="both"/>
        <w:rPr>
          <w:rFonts w:cs="Arial"/>
          <w:color w:val="000000"/>
          <w:szCs w:val="24"/>
          <w:lang w:val="en" w:eastAsia="en-GB"/>
        </w:rPr>
      </w:pPr>
    </w:p>
    <w:p w:rsidR="004F0C6E" w:rsidRPr="00D4544E" w:rsidRDefault="004F0C6E" w:rsidP="004F0C6E">
      <w:pPr>
        <w:jc w:val="both"/>
        <w:rPr>
          <w:rFonts w:cs="Arial"/>
          <w:color w:val="000000"/>
          <w:szCs w:val="24"/>
          <w:lang w:val="en" w:eastAsia="en-GB"/>
        </w:rPr>
      </w:pPr>
      <w:r w:rsidRPr="00D4544E">
        <w:rPr>
          <w:rFonts w:cs="Arial"/>
          <w:color w:val="000000"/>
          <w:szCs w:val="24"/>
          <w:lang w:val="en" w:eastAsia="en-GB"/>
        </w:rPr>
        <w:t>The Director is responsibility for implementing the policies agreed by the Council and Cabinet.</w:t>
      </w:r>
    </w:p>
    <w:p w:rsidR="004F0C6E" w:rsidRPr="00D4544E" w:rsidRDefault="004F0C6E" w:rsidP="004F0C6E">
      <w:pPr>
        <w:jc w:val="both"/>
        <w:rPr>
          <w:rFonts w:cs="Arial"/>
          <w:color w:val="000000"/>
          <w:szCs w:val="24"/>
          <w:lang w:val="en" w:eastAsia="en-GB"/>
        </w:rPr>
      </w:pPr>
    </w:p>
    <w:p w:rsidR="004F0C6E" w:rsidRPr="00D4544E" w:rsidRDefault="004F0C6E" w:rsidP="004F0C6E">
      <w:pPr>
        <w:jc w:val="both"/>
        <w:rPr>
          <w:rFonts w:cs="Arial"/>
          <w:color w:val="000000"/>
          <w:szCs w:val="24"/>
          <w:lang w:val="en" w:eastAsia="en-GB"/>
        </w:rPr>
      </w:pPr>
      <w:r w:rsidRPr="00D4544E">
        <w:rPr>
          <w:rFonts w:cs="Arial"/>
          <w:color w:val="000000"/>
          <w:szCs w:val="24"/>
          <w:lang w:val="en" w:eastAsia="en-GB"/>
        </w:rPr>
        <w:t>Under the Local Government Finance Act 1988 and the Local Government Act 2003 the Director also has responsibilities in respect of budget arrangements and the adequacy of resources. In terms of Treasury Management this means that the financing costs of the Capital Programme are built into the Revenue Budget as are any assumptions on investment income.</w:t>
      </w:r>
    </w:p>
    <w:p w:rsidR="00291CCE" w:rsidRPr="00D4544E" w:rsidRDefault="00291CCE" w:rsidP="004F0C6E">
      <w:pPr>
        <w:jc w:val="both"/>
        <w:rPr>
          <w:rFonts w:cs="Arial"/>
          <w:color w:val="000000"/>
          <w:szCs w:val="24"/>
          <w:lang w:val="en" w:eastAsia="en-GB"/>
        </w:rPr>
      </w:pPr>
    </w:p>
    <w:p w:rsidR="004F0C6E" w:rsidRPr="00D4544E" w:rsidRDefault="004F0C6E" w:rsidP="00D205B5">
      <w:pPr>
        <w:jc w:val="both"/>
      </w:pPr>
      <w:r w:rsidRPr="00D4544E">
        <w:rPr>
          <w:rFonts w:cs="Arial"/>
          <w:color w:val="000000"/>
          <w:szCs w:val="24"/>
          <w:lang w:val="en" w:eastAsia="en-GB"/>
        </w:rPr>
        <w:lastRenderedPageBreak/>
        <w:t>The Director chairs the Treasury Management Group and agrees major treasury management decisions, specifically including any borrowing decisions, delegated to officers.</w:t>
      </w:r>
    </w:p>
    <w:p w:rsidR="004F0C6E" w:rsidRPr="00D4544E" w:rsidRDefault="004F0C6E" w:rsidP="00D205B5">
      <w:pPr>
        <w:jc w:val="both"/>
      </w:pPr>
    </w:p>
    <w:p w:rsidR="00D205B5" w:rsidRPr="00D4544E" w:rsidRDefault="00D205B5" w:rsidP="00D205B5">
      <w:pPr>
        <w:jc w:val="both"/>
        <w:rPr>
          <w:b/>
          <w:u w:val="single"/>
        </w:rPr>
      </w:pPr>
      <w:r w:rsidRPr="00D4544E">
        <w:rPr>
          <w:b/>
          <w:u w:val="single"/>
        </w:rPr>
        <w:t>Treasury Management Group</w:t>
      </w:r>
    </w:p>
    <w:p w:rsidR="00291CCE" w:rsidRPr="00D4544E" w:rsidRDefault="00291CCE" w:rsidP="00D205B5">
      <w:pPr>
        <w:jc w:val="both"/>
        <w:rPr>
          <w:b/>
          <w:u w:val="single"/>
        </w:rPr>
      </w:pPr>
    </w:p>
    <w:p w:rsidR="00291CCE" w:rsidRPr="00D4544E" w:rsidRDefault="00291CCE" w:rsidP="00291CCE">
      <w:pPr>
        <w:autoSpaceDE w:val="0"/>
        <w:autoSpaceDN w:val="0"/>
        <w:adjustRightInd w:val="0"/>
        <w:jc w:val="both"/>
        <w:rPr>
          <w:rFonts w:cs="Arial"/>
          <w:color w:val="000000"/>
          <w:szCs w:val="24"/>
          <w:lang w:eastAsia="en-GB"/>
        </w:rPr>
      </w:pPr>
      <w:r w:rsidRPr="00D4544E">
        <w:rPr>
          <w:rFonts w:cs="Arial"/>
          <w:color w:val="000000"/>
          <w:szCs w:val="24"/>
          <w:lang w:eastAsia="en-GB"/>
        </w:rPr>
        <w:t>Comprises Director of Finance, Head of Strategic and Technical Finance (Deputy S151 Officer), Treasury and Pension</w:t>
      </w:r>
      <w:r w:rsidR="003E0CB8">
        <w:rPr>
          <w:rFonts w:cs="Arial"/>
          <w:color w:val="000000"/>
          <w:szCs w:val="24"/>
          <w:lang w:eastAsia="en-GB"/>
        </w:rPr>
        <w:t>s</w:t>
      </w:r>
      <w:r w:rsidRPr="00D4544E">
        <w:rPr>
          <w:rFonts w:cs="Arial"/>
          <w:color w:val="000000"/>
          <w:szCs w:val="24"/>
          <w:lang w:eastAsia="en-GB"/>
        </w:rPr>
        <w:t xml:space="preserve"> Manager, Senior Finance Officer and is responsible for:</w:t>
      </w:r>
    </w:p>
    <w:p w:rsidR="00291CCE" w:rsidRPr="00D4544E" w:rsidRDefault="00291CCE" w:rsidP="00291CCE">
      <w:pPr>
        <w:numPr>
          <w:ilvl w:val="0"/>
          <w:numId w:val="33"/>
        </w:numPr>
        <w:autoSpaceDE w:val="0"/>
        <w:autoSpaceDN w:val="0"/>
        <w:adjustRightInd w:val="0"/>
        <w:jc w:val="both"/>
        <w:rPr>
          <w:rFonts w:cs="Arial"/>
          <w:color w:val="000000"/>
          <w:szCs w:val="24"/>
          <w:lang w:eastAsia="en-GB"/>
        </w:rPr>
      </w:pPr>
      <w:r w:rsidRPr="00D4544E">
        <w:rPr>
          <w:rFonts w:cs="Arial"/>
          <w:color w:val="000000"/>
          <w:szCs w:val="24"/>
          <w:lang w:eastAsia="en-GB"/>
        </w:rPr>
        <w:t>Monitoring treasury management activity against approved strategy, policy, practices and market conditions;</w:t>
      </w:r>
    </w:p>
    <w:p w:rsidR="00291CCE" w:rsidRPr="00D4544E" w:rsidRDefault="00291CCE" w:rsidP="00291CCE">
      <w:pPr>
        <w:numPr>
          <w:ilvl w:val="0"/>
          <w:numId w:val="33"/>
        </w:numPr>
        <w:autoSpaceDE w:val="0"/>
        <w:autoSpaceDN w:val="0"/>
        <w:adjustRightInd w:val="0"/>
        <w:jc w:val="both"/>
        <w:rPr>
          <w:rFonts w:cs="Arial"/>
          <w:color w:val="000000"/>
          <w:szCs w:val="24"/>
          <w:lang w:eastAsia="en-GB"/>
        </w:rPr>
      </w:pPr>
      <w:r w:rsidRPr="00D4544E">
        <w:rPr>
          <w:rFonts w:cs="Arial"/>
          <w:color w:val="000000"/>
          <w:szCs w:val="24"/>
          <w:lang w:eastAsia="en-GB"/>
        </w:rPr>
        <w:t>Ensuring that capital expenditure plans are continually reviewed in line with budget assumptions throughout the year to forecast when borrowing will be required.</w:t>
      </w:r>
    </w:p>
    <w:p w:rsidR="00291CCE" w:rsidRPr="00D4544E" w:rsidRDefault="00291CCE" w:rsidP="00291CCE">
      <w:pPr>
        <w:numPr>
          <w:ilvl w:val="0"/>
          <w:numId w:val="33"/>
        </w:numPr>
        <w:autoSpaceDE w:val="0"/>
        <w:autoSpaceDN w:val="0"/>
        <w:adjustRightInd w:val="0"/>
        <w:jc w:val="both"/>
        <w:rPr>
          <w:rFonts w:cs="Arial"/>
          <w:color w:val="000000"/>
          <w:szCs w:val="24"/>
          <w:lang w:eastAsia="en-GB"/>
        </w:rPr>
      </w:pPr>
      <w:r w:rsidRPr="00D4544E">
        <w:rPr>
          <w:rFonts w:cs="Arial"/>
          <w:color w:val="000000"/>
          <w:szCs w:val="24"/>
          <w:lang w:eastAsia="en-GB"/>
        </w:rPr>
        <w:t>Approving changes to treasury management practices and procedures;</w:t>
      </w:r>
    </w:p>
    <w:p w:rsidR="00291CCE" w:rsidRPr="00D4544E" w:rsidRDefault="00291CCE" w:rsidP="00291CCE">
      <w:pPr>
        <w:numPr>
          <w:ilvl w:val="0"/>
          <w:numId w:val="33"/>
        </w:numPr>
        <w:autoSpaceDE w:val="0"/>
        <w:autoSpaceDN w:val="0"/>
        <w:adjustRightInd w:val="0"/>
        <w:jc w:val="both"/>
        <w:rPr>
          <w:rFonts w:cs="Arial"/>
          <w:color w:val="000000"/>
          <w:szCs w:val="24"/>
          <w:lang w:eastAsia="en-GB"/>
        </w:rPr>
      </w:pPr>
      <w:r w:rsidRPr="00D4544E">
        <w:rPr>
          <w:rFonts w:cs="Arial"/>
          <w:color w:val="000000"/>
          <w:szCs w:val="24"/>
          <w:lang w:eastAsia="en-GB"/>
        </w:rPr>
        <w:t>Reviewing the performance of the treasury management function using benchmarking data on borrowing and investment provided by the Treasury Management Adviser (</w:t>
      </w:r>
      <w:r w:rsidR="00631435">
        <w:rPr>
          <w:rFonts w:cs="Arial"/>
          <w:color w:val="000000"/>
          <w:szCs w:val="24"/>
          <w:lang w:eastAsia="en-GB"/>
        </w:rPr>
        <w:t>Link Asset Services</w:t>
      </w:r>
      <w:r w:rsidRPr="00D4544E">
        <w:rPr>
          <w:rFonts w:cs="Arial"/>
          <w:color w:val="000000"/>
          <w:szCs w:val="24"/>
          <w:lang w:eastAsia="en-GB"/>
        </w:rPr>
        <w:t xml:space="preserve"> Asset Services);</w:t>
      </w:r>
    </w:p>
    <w:p w:rsidR="00291CCE" w:rsidRPr="00D4544E" w:rsidRDefault="00291CCE" w:rsidP="00291CCE">
      <w:pPr>
        <w:numPr>
          <w:ilvl w:val="0"/>
          <w:numId w:val="33"/>
        </w:numPr>
        <w:autoSpaceDE w:val="0"/>
        <w:autoSpaceDN w:val="0"/>
        <w:adjustRightInd w:val="0"/>
        <w:jc w:val="both"/>
        <w:rPr>
          <w:rFonts w:cs="Arial"/>
          <w:color w:val="000000"/>
          <w:szCs w:val="24"/>
          <w:lang w:eastAsia="en-GB"/>
        </w:rPr>
      </w:pPr>
      <w:r w:rsidRPr="00D4544E">
        <w:rPr>
          <w:rFonts w:cs="Arial"/>
          <w:color w:val="000000"/>
          <w:szCs w:val="24"/>
          <w:lang w:eastAsia="en-GB"/>
        </w:rPr>
        <w:t>Monitoring the performance of the appointed Treasury Management Adviser and recommending any necessary actions</w:t>
      </w:r>
    </w:p>
    <w:p w:rsidR="00291CCE" w:rsidRPr="00D4544E" w:rsidRDefault="00291CCE" w:rsidP="00291CCE">
      <w:pPr>
        <w:numPr>
          <w:ilvl w:val="0"/>
          <w:numId w:val="33"/>
        </w:numPr>
        <w:autoSpaceDE w:val="0"/>
        <w:autoSpaceDN w:val="0"/>
        <w:adjustRightInd w:val="0"/>
        <w:jc w:val="both"/>
        <w:rPr>
          <w:rFonts w:cs="Arial"/>
          <w:color w:val="000000"/>
          <w:szCs w:val="24"/>
          <w:lang w:eastAsia="en-GB"/>
        </w:rPr>
      </w:pPr>
      <w:r w:rsidRPr="00D4544E">
        <w:rPr>
          <w:rFonts w:cs="Arial"/>
          <w:color w:val="000000"/>
          <w:szCs w:val="24"/>
          <w:lang w:eastAsia="en-GB"/>
        </w:rPr>
        <w:t>Ensuring the adequacy of treasury management resources and skills and the effective division of responsibilities within the treasury management function;</w:t>
      </w:r>
    </w:p>
    <w:p w:rsidR="00291CCE" w:rsidRPr="00D4544E" w:rsidRDefault="00291CCE" w:rsidP="00291CCE">
      <w:pPr>
        <w:numPr>
          <w:ilvl w:val="0"/>
          <w:numId w:val="33"/>
        </w:numPr>
        <w:jc w:val="both"/>
        <w:rPr>
          <w:b/>
          <w:u w:val="single"/>
        </w:rPr>
      </w:pPr>
      <w:r w:rsidRPr="00D4544E">
        <w:rPr>
          <w:rFonts w:cs="Arial"/>
          <w:color w:val="000000"/>
          <w:szCs w:val="24"/>
          <w:lang w:eastAsia="en-GB"/>
        </w:rPr>
        <w:t>Monitoring the adequacy of internal audit reviews and the implementation of audit recommendations</w:t>
      </w:r>
    </w:p>
    <w:p w:rsidR="00291CCE" w:rsidRPr="00D4544E" w:rsidRDefault="00291CCE" w:rsidP="00D205B5">
      <w:pPr>
        <w:jc w:val="both"/>
        <w:rPr>
          <w:b/>
          <w:u w:val="single"/>
        </w:rPr>
      </w:pPr>
    </w:p>
    <w:p w:rsidR="00291CCE" w:rsidRPr="00D4544E" w:rsidRDefault="00291CCE" w:rsidP="00D205B5">
      <w:pPr>
        <w:jc w:val="both"/>
        <w:rPr>
          <w:b/>
          <w:u w:val="single"/>
        </w:rPr>
      </w:pPr>
    </w:p>
    <w:p w:rsidR="00D205B5" w:rsidRPr="00D4544E" w:rsidRDefault="00D205B5" w:rsidP="00D205B5">
      <w:pPr>
        <w:jc w:val="both"/>
        <w:rPr>
          <w:b/>
          <w:u w:val="single"/>
        </w:rPr>
      </w:pPr>
      <w:r w:rsidRPr="00D4544E">
        <w:rPr>
          <w:b/>
          <w:u w:val="single"/>
        </w:rPr>
        <w:t>Treasury and Pension</w:t>
      </w:r>
      <w:r w:rsidR="003E0CB8">
        <w:rPr>
          <w:b/>
          <w:u w:val="single"/>
        </w:rPr>
        <w:t>s</w:t>
      </w:r>
      <w:r w:rsidRPr="00D4544E">
        <w:rPr>
          <w:b/>
          <w:u w:val="single"/>
        </w:rPr>
        <w:t xml:space="preserve"> Manager</w:t>
      </w:r>
    </w:p>
    <w:p w:rsidR="00291CCE" w:rsidRPr="00D4544E" w:rsidRDefault="00291CCE" w:rsidP="00D205B5">
      <w:pPr>
        <w:jc w:val="both"/>
        <w:rPr>
          <w:b/>
          <w:u w:val="single"/>
        </w:rPr>
      </w:pPr>
    </w:p>
    <w:p w:rsidR="00291CCE" w:rsidRPr="00D4544E" w:rsidRDefault="00291CCE" w:rsidP="00D205B5">
      <w:pPr>
        <w:jc w:val="both"/>
        <w:rPr>
          <w:b/>
          <w:u w:val="single"/>
        </w:rPr>
      </w:pPr>
      <w:r w:rsidRPr="00D4544E">
        <w:rPr>
          <w:rFonts w:cs="Arial"/>
          <w:color w:val="000000"/>
          <w:szCs w:val="24"/>
          <w:lang w:eastAsia="en-GB"/>
        </w:rPr>
        <w:t>Responsible for the execution and administration of treasury management decisions, acting in accordance with the Council’s Treasury Management Strategy Statement and CIPFA’s “Standard of Professional Practice on Treasury Management”</w:t>
      </w:r>
    </w:p>
    <w:p w:rsidR="00291CCE" w:rsidRPr="00D4544E" w:rsidRDefault="00291CCE" w:rsidP="00D205B5">
      <w:pPr>
        <w:jc w:val="both"/>
        <w:rPr>
          <w:b/>
          <w:u w:val="single"/>
        </w:rPr>
      </w:pPr>
    </w:p>
    <w:p w:rsidR="00291CCE" w:rsidRPr="00D4544E" w:rsidRDefault="00291CCE" w:rsidP="00D205B5">
      <w:pPr>
        <w:jc w:val="both"/>
        <w:rPr>
          <w:b/>
          <w:u w:val="single"/>
        </w:rPr>
      </w:pPr>
    </w:p>
    <w:p w:rsidR="00D205B5" w:rsidRPr="00D4544E" w:rsidRDefault="00D205B5" w:rsidP="00D205B5">
      <w:pPr>
        <w:jc w:val="both"/>
        <w:rPr>
          <w:b/>
          <w:u w:val="single"/>
        </w:rPr>
      </w:pPr>
      <w:r w:rsidRPr="00D4544E">
        <w:rPr>
          <w:b/>
          <w:u w:val="single"/>
        </w:rPr>
        <w:t xml:space="preserve">Treasury Team </w:t>
      </w:r>
    </w:p>
    <w:p w:rsidR="00291CCE" w:rsidRPr="00D4544E" w:rsidRDefault="00291CCE" w:rsidP="00D205B5">
      <w:pPr>
        <w:jc w:val="both"/>
        <w:rPr>
          <w:b/>
          <w:u w:val="single"/>
        </w:rPr>
      </w:pPr>
    </w:p>
    <w:p w:rsidR="00291CCE" w:rsidRDefault="00291CCE" w:rsidP="00D205B5">
      <w:pPr>
        <w:jc w:val="both"/>
        <w:rPr>
          <w:b/>
          <w:u w:val="single"/>
        </w:rPr>
      </w:pPr>
      <w:r w:rsidRPr="00D4544E">
        <w:rPr>
          <w:rFonts w:cs="Arial"/>
          <w:color w:val="000000"/>
          <w:szCs w:val="24"/>
          <w:lang w:eastAsia="en-GB"/>
        </w:rPr>
        <w:t>Headed by Senior Finance Officer with responsibility for day-to-day treasury and investment and borrowing activity in accordance with approved Strategy, policy, practices and procedures and for recommending changes to the Treasury Management Group</w:t>
      </w:r>
    </w:p>
    <w:p w:rsidR="008D3302" w:rsidRPr="008D3302" w:rsidRDefault="00D23AE5" w:rsidP="00D23AE5">
      <w:pPr>
        <w:jc w:val="right"/>
        <w:rPr>
          <w:b/>
          <w:sz w:val="32"/>
          <w:szCs w:val="32"/>
        </w:rPr>
      </w:pPr>
      <w:r>
        <w:rPr>
          <w:b/>
          <w:u w:val="single"/>
        </w:rPr>
        <w:br w:type="page"/>
      </w:r>
      <w:r w:rsidR="008D3302" w:rsidRPr="008D3302">
        <w:rPr>
          <w:b/>
          <w:sz w:val="32"/>
          <w:szCs w:val="32"/>
        </w:rPr>
        <w:lastRenderedPageBreak/>
        <w:t>APPENDIX C</w:t>
      </w:r>
    </w:p>
    <w:p w:rsidR="008D3302" w:rsidRPr="008D3302" w:rsidRDefault="008D3302" w:rsidP="009B022B">
      <w:pPr>
        <w:spacing w:before="270" w:after="180"/>
        <w:jc w:val="both"/>
        <w:rPr>
          <w:rFonts w:cs="Arial"/>
          <w:b/>
          <w:color w:val="0D0D0D"/>
          <w:szCs w:val="24"/>
        </w:rPr>
      </w:pPr>
      <w:r w:rsidRPr="008D3302">
        <w:rPr>
          <w:rFonts w:cs="Arial"/>
          <w:b/>
          <w:noProof/>
          <w:sz w:val="32"/>
          <w:szCs w:val="32"/>
        </w:rPr>
        <w:t>Minimum Revenue Provision (MRP) Policy Statement</w:t>
      </w:r>
    </w:p>
    <w:p w:rsidR="008D3302" w:rsidRPr="008D3302" w:rsidRDefault="008D3302" w:rsidP="008D3302">
      <w:pPr>
        <w:numPr>
          <w:ilvl w:val="0"/>
          <w:numId w:val="24"/>
        </w:numPr>
        <w:ind w:hanging="294"/>
        <w:jc w:val="both"/>
        <w:rPr>
          <w:rFonts w:cs="Arial"/>
          <w:bCs/>
          <w:szCs w:val="24"/>
        </w:rPr>
      </w:pPr>
      <w:r w:rsidRPr="008D3302">
        <w:rPr>
          <w:rFonts w:cs="Arial"/>
          <w:bCs/>
          <w:szCs w:val="24"/>
        </w:rPr>
        <w:t>For capital expenditure incurred before 1 April 2008 or which in the future will be Supported Capital Expenditure, the MRP policy will be the equal annual reduction of 2% of the outstanding debt at 1 April 2015 for the subsequent 50 years.</w:t>
      </w:r>
    </w:p>
    <w:p w:rsidR="008D3302" w:rsidRPr="008D3302" w:rsidRDefault="008D3302" w:rsidP="008D3302">
      <w:pPr>
        <w:jc w:val="both"/>
        <w:rPr>
          <w:rFonts w:cs="Arial"/>
          <w:bCs/>
          <w:szCs w:val="24"/>
        </w:rPr>
      </w:pPr>
    </w:p>
    <w:p w:rsidR="008D3302" w:rsidRPr="008D3302" w:rsidRDefault="008D3302" w:rsidP="008D3302">
      <w:pPr>
        <w:numPr>
          <w:ilvl w:val="0"/>
          <w:numId w:val="23"/>
        </w:numPr>
        <w:ind w:left="709" w:hanging="283"/>
        <w:jc w:val="both"/>
        <w:rPr>
          <w:rFonts w:cs="Arial"/>
          <w:bCs/>
          <w:szCs w:val="24"/>
        </w:rPr>
      </w:pPr>
      <w:r w:rsidRPr="008D3302">
        <w:rPr>
          <w:rFonts w:cs="Arial"/>
          <w:bCs/>
          <w:szCs w:val="24"/>
        </w:rPr>
        <w:t xml:space="preserve">For all capital expenditure financed from unsupported (prudential) borrowing (including PFI and finance leases), MRP will be based upon an asset life method in accordance with Option 3 of the guidance.  </w:t>
      </w:r>
    </w:p>
    <w:p w:rsidR="008D3302" w:rsidRPr="008D3302" w:rsidRDefault="008D3302" w:rsidP="008D3302">
      <w:pPr>
        <w:jc w:val="both"/>
        <w:rPr>
          <w:rFonts w:cs="Arial"/>
          <w:bCs/>
          <w:szCs w:val="24"/>
        </w:rPr>
      </w:pPr>
    </w:p>
    <w:p w:rsidR="008D3302" w:rsidRPr="008D3302" w:rsidRDefault="008D3302" w:rsidP="008D3302">
      <w:pPr>
        <w:numPr>
          <w:ilvl w:val="0"/>
          <w:numId w:val="23"/>
        </w:numPr>
        <w:ind w:left="709" w:hanging="283"/>
        <w:jc w:val="both"/>
        <w:rPr>
          <w:rFonts w:cs="Arial"/>
          <w:bCs/>
          <w:szCs w:val="24"/>
        </w:rPr>
      </w:pPr>
      <w:r w:rsidRPr="008D3302">
        <w:rPr>
          <w:rFonts w:cs="Arial"/>
          <w:bCs/>
          <w:szCs w:val="24"/>
        </w:rPr>
        <w:t>In some cases where a scheme is financed by prudential borrowing it may be appropriate to vary the profile of the MRP charge to reflect the future income streams associated with the asset, whilst retaining the principle that the full amount of borrowing will be charged as MRP over the asset’s estimated useful life.</w:t>
      </w:r>
    </w:p>
    <w:p w:rsidR="008D3302" w:rsidRPr="008D3302" w:rsidRDefault="008D3302" w:rsidP="008D3302">
      <w:pPr>
        <w:ind w:left="720"/>
        <w:rPr>
          <w:szCs w:val="24"/>
        </w:rPr>
      </w:pPr>
    </w:p>
    <w:p w:rsidR="008D3302" w:rsidRPr="008D3302" w:rsidRDefault="008D3302" w:rsidP="008D3302">
      <w:pPr>
        <w:numPr>
          <w:ilvl w:val="0"/>
          <w:numId w:val="23"/>
        </w:numPr>
        <w:ind w:left="709" w:hanging="283"/>
        <w:jc w:val="both"/>
        <w:rPr>
          <w:rFonts w:cs="Arial"/>
          <w:bCs/>
          <w:szCs w:val="24"/>
        </w:rPr>
      </w:pPr>
      <w:r w:rsidRPr="008D3302">
        <w:rPr>
          <w:rFonts w:cs="Arial"/>
          <w:bCs/>
          <w:szCs w:val="24"/>
        </w:rPr>
        <w:t>A voluntary MRP may be made from either revenue or voluntarily set aside capital receipts.</w:t>
      </w:r>
    </w:p>
    <w:p w:rsidR="008D3302" w:rsidRPr="008D3302" w:rsidRDefault="008D3302" w:rsidP="008D3302">
      <w:pPr>
        <w:ind w:left="720"/>
        <w:rPr>
          <w:szCs w:val="24"/>
        </w:rPr>
      </w:pPr>
    </w:p>
    <w:p w:rsidR="008D3302" w:rsidRPr="008D3302" w:rsidRDefault="008D3302" w:rsidP="008D3302">
      <w:pPr>
        <w:numPr>
          <w:ilvl w:val="0"/>
          <w:numId w:val="23"/>
        </w:numPr>
        <w:ind w:left="709" w:hanging="283"/>
        <w:jc w:val="both"/>
        <w:rPr>
          <w:rFonts w:cs="Arial"/>
          <w:bCs/>
          <w:szCs w:val="24"/>
        </w:rPr>
      </w:pPr>
      <w:r w:rsidRPr="008D3302">
        <w:rPr>
          <w:rFonts w:cs="Arial"/>
          <w:bCs/>
          <w:szCs w:val="24"/>
        </w:rPr>
        <w:t xml:space="preserve">Estimated life periods and amortisation methodologies will be determined under delegated powers.  </w:t>
      </w:r>
      <w:r w:rsidRPr="008D3302">
        <w:rPr>
          <w:rFonts w:eastAsia="Calibri" w:cs="Arial"/>
          <w:bCs/>
          <w:szCs w:val="24"/>
          <w:lang w:eastAsia="en-GB"/>
        </w:rPr>
        <w:t>To the extent that expenditure is not on the creation of an asset and is of a type that is subject to estimated life periods that are referred to in the guidance, these periods will generally be adopted by the Council. However, the Council reserves the right to determine useful life periods and prudent MRP in exceptional circumstances where the recommendations of the guidance would not be appropriate.</w:t>
      </w:r>
    </w:p>
    <w:p w:rsidR="008D3302" w:rsidRPr="008D3302" w:rsidRDefault="008D3302" w:rsidP="008D3302">
      <w:pPr>
        <w:ind w:left="720"/>
        <w:rPr>
          <w:szCs w:val="24"/>
        </w:rPr>
      </w:pPr>
    </w:p>
    <w:p w:rsidR="008D3302" w:rsidRPr="008D3302" w:rsidRDefault="008D3302" w:rsidP="008D3302">
      <w:pPr>
        <w:numPr>
          <w:ilvl w:val="0"/>
          <w:numId w:val="23"/>
        </w:numPr>
        <w:ind w:left="709" w:hanging="283"/>
        <w:jc w:val="both"/>
        <w:rPr>
          <w:rFonts w:cs="Arial"/>
          <w:bCs/>
          <w:szCs w:val="24"/>
        </w:rPr>
      </w:pPr>
      <w:r w:rsidRPr="008D3302">
        <w:rPr>
          <w:rFonts w:cs="Arial"/>
          <w:bCs/>
          <w:szCs w:val="24"/>
        </w:rPr>
        <w:t>Freehold l</w:t>
      </w:r>
      <w:r w:rsidRPr="008D3302">
        <w:rPr>
          <w:rFonts w:cs="Arial"/>
          <w:szCs w:val="24"/>
        </w:rPr>
        <w:t>and</w:t>
      </w:r>
      <w:r w:rsidRPr="008D3302">
        <w:rPr>
          <w:rFonts w:cs="Arial"/>
          <w:bCs/>
          <w:szCs w:val="24"/>
        </w:rPr>
        <w:t xml:space="preserve"> cannot properly have a life attributed to it, so for the purposes of Asset Life method it will be treated as equal to a maximum of 50 years. But if there is a structure on the land which the authority considers to have a life longer than 50 years, that same life estimate will be used for the land.</w:t>
      </w:r>
    </w:p>
    <w:p w:rsidR="008D3302" w:rsidRPr="008D3302" w:rsidRDefault="008D3302" w:rsidP="008D3302">
      <w:pPr>
        <w:ind w:left="720"/>
        <w:rPr>
          <w:rFonts w:eastAsia="Calibri"/>
          <w:szCs w:val="24"/>
          <w:lang w:eastAsia="en-GB"/>
        </w:rPr>
      </w:pPr>
    </w:p>
    <w:p w:rsidR="008D3302" w:rsidRPr="008D3302" w:rsidRDefault="008D3302" w:rsidP="008D3302">
      <w:pPr>
        <w:numPr>
          <w:ilvl w:val="0"/>
          <w:numId w:val="23"/>
        </w:numPr>
        <w:ind w:left="709" w:hanging="283"/>
        <w:jc w:val="both"/>
        <w:rPr>
          <w:rFonts w:cs="Arial"/>
          <w:bCs/>
          <w:szCs w:val="24"/>
        </w:rPr>
      </w:pPr>
      <w:r w:rsidRPr="008D3302">
        <w:rPr>
          <w:rFonts w:eastAsia="Calibri" w:cs="Arial"/>
          <w:bCs/>
          <w:szCs w:val="24"/>
          <w:lang w:eastAsia="en-GB"/>
        </w:rPr>
        <w:t xml:space="preserve">As some types of capital expenditure incurred by the Council are not capable of being related to an individual asset, asset lives will be assessed on a basis which most reasonably reflects the anticipated period of benefit that arises from the expenditure.  Also, whatever type of expenditure is involved, it will be grouped together in a manner which reflects the nature of the main component of expenditure and will only be divided up in cases where there are two or more major components with substantially different useful economic lives. </w:t>
      </w:r>
    </w:p>
    <w:p w:rsidR="008D3302" w:rsidRPr="008D3302" w:rsidRDefault="008D3302" w:rsidP="008D3302">
      <w:pPr>
        <w:ind w:left="720"/>
        <w:rPr>
          <w:rFonts w:eastAsia="Calibri"/>
          <w:szCs w:val="24"/>
          <w:lang w:eastAsia="en-GB"/>
        </w:rPr>
      </w:pPr>
    </w:p>
    <w:p w:rsidR="008D3302" w:rsidRPr="00133B17" w:rsidRDefault="008D3302" w:rsidP="008D3302">
      <w:pPr>
        <w:numPr>
          <w:ilvl w:val="0"/>
          <w:numId w:val="23"/>
        </w:numPr>
        <w:ind w:left="709" w:hanging="283"/>
        <w:jc w:val="both"/>
        <w:rPr>
          <w:rFonts w:cs="Arial"/>
          <w:bCs/>
          <w:szCs w:val="24"/>
        </w:rPr>
      </w:pPr>
      <w:r w:rsidRPr="008D3302">
        <w:rPr>
          <w:rFonts w:eastAsia="Calibri" w:cs="Arial"/>
          <w:bCs/>
          <w:szCs w:val="24"/>
          <w:lang w:eastAsia="en-GB"/>
        </w:rPr>
        <w:t>Repayments included in annual PFI or finance leases are applied as MRP.</w:t>
      </w:r>
    </w:p>
    <w:p w:rsidR="00133B17" w:rsidRDefault="00133B17" w:rsidP="002E2E3A">
      <w:pPr>
        <w:pStyle w:val="ListParagraph"/>
        <w:numPr>
          <w:ilvl w:val="0"/>
          <w:numId w:val="0"/>
        </w:numPr>
        <w:ind w:left="3272"/>
        <w:rPr>
          <w:rFonts w:cs="Arial"/>
          <w:bCs/>
          <w:szCs w:val="24"/>
        </w:rPr>
      </w:pPr>
    </w:p>
    <w:p w:rsidR="00133B17" w:rsidRPr="008D3302" w:rsidRDefault="00133B17" w:rsidP="002E2E3A">
      <w:pPr>
        <w:ind w:left="709"/>
        <w:jc w:val="both"/>
        <w:rPr>
          <w:rFonts w:cs="Arial"/>
          <w:bCs/>
          <w:szCs w:val="24"/>
        </w:rPr>
      </w:pPr>
    </w:p>
    <w:p w:rsidR="008D3302" w:rsidRPr="008D3302" w:rsidRDefault="008D3302" w:rsidP="008D3302">
      <w:pPr>
        <w:ind w:left="720"/>
        <w:rPr>
          <w:rFonts w:eastAsia="Calibri"/>
          <w:szCs w:val="24"/>
          <w:lang w:eastAsia="en-GB"/>
        </w:rPr>
      </w:pPr>
    </w:p>
    <w:p w:rsidR="008D3302" w:rsidRPr="008D3302" w:rsidRDefault="008D3302" w:rsidP="008D3302">
      <w:pPr>
        <w:numPr>
          <w:ilvl w:val="0"/>
          <w:numId w:val="23"/>
        </w:numPr>
        <w:ind w:left="709" w:hanging="283"/>
        <w:jc w:val="both"/>
        <w:rPr>
          <w:rFonts w:cs="Arial"/>
          <w:bCs/>
          <w:szCs w:val="24"/>
        </w:rPr>
      </w:pPr>
      <w:r w:rsidRPr="008D3302">
        <w:rPr>
          <w:rFonts w:eastAsia="Calibri" w:cs="Arial"/>
          <w:bCs/>
          <w:szCs w:val="24"/>
          <w:lang w:eastAsia="en-GB"/>
        </w:rPr>
        <w:lastRenderedPageBreak/>
        <w:t>Where borrowing is undertaken for the construction of new assets, MRP will only become chargeable once such assets are completed and operational.</w:t>
      </w:r>
    </w:p>
    <w:p w:rsidR="008D3302" w:rsidRPr="008D3302" w:rsidRDefault="008D3302" w:rsidP="008D3302">
      <w:pPr>
        <w:ind w:left="720"/>
        <w:rPr>
          <w:rFonts w:eastAsia="Calibri"/>
          <w:szCs w:val="24"/>
          <w:lang w:eastAsia="en-GB"/>
        </w:rPr>
      </w:pPr>
    </w:p>
    <w:p w:rsidR="008D3302" w:rsidRPr="00B93CA0" w:rsidRDefault="008D3302" w:rsidP="008D3302">
      <w:pPr>
        <w:numPr>
          <w:ilvl w:val="0"/>
          <w:numId w:val="23"/>
        </w:numPr>
        <w:ind w:left="709" w:hanging="283"/>
        <w:jc w:val="both"/>
        <w:rPr>
          <w:rFonts w:cs="Arial"/>
          <w:bCs/>
          <w:szCs w:val="24"/>
        </w:rPr>
      </w:pPr>
      <w:r w:rsidRPr="008D3302">
        <w:rPr>
          <w:rFonts w:eastAsia="Calibri" w:cs="Arial"/>
          <w:bCs/>
          <w:szCs w:val="24"/>
          <w:lang w:eastAsia="en-GB"/>
        </w:rPr>
        <w:t>Under Treasury Management best practice the Council may decide to defer borrowing up to the capital financing requirement (CFR) and use internal resources instead. Where internal borrowing has been used, the amount chargeable as MRP may be adjusted to reflect the deferral of actual borrowing.</w:t>
      </w:r>
    </w:p>
    <w:p w:rsidR="00B93CA0" w:rsidRDefault="00B93CA0" w:rsidP="002E2E3A">
      <w:pPr>
        <w:pStyle w:val="ListParagraph"/>
        <w:numPr>
          <w:ilvl w:val="0"/>
          <w:numId w:val="0"/>
        </w:numPr>
        <w:ind w:left="3272"/>
        <w:rPr>
          <w:rFonts w:cs="Arial"/>
          <w:bCs/>
          <w:szCs w:val="24"/>
        </w:rPr>
      </w:pPr>
    </w:p>
    <w:p w:rsidR="00B93CA0" w:rsidRPr="008D3302" w:rsidRDefault="00B93CA0" w:rsidP="008D3302">
      <w:pPr>
        <w:numPr>
          <w:ilvl w:val="0"/>
          <w:numId w:val="23"/>
        </w:numPr>
        <w:ind w:left="709" w:hanging="283"/>
        <w:jc w:val="both"/>
        <w:rPr>
          <w:rFonts w:cs="Arial"/>
          <w:bCs/>
          <w:szCs w:val="24"/>
        </w:rPr>
      </w:pPr>
      <w:r>
        <w:rPr>
          <w:rFonts w:cs="Arial"/>
          <w:bCs/>
          <w:szCs w:val="24"/>
        </w:rPr>
        <w:br w:type="page"/>
      </w:r>
    </w:p>
    <w:p w:rsidR="00AB74F5" w:rsidRPr="003E0CB8" w:rsidRDefault="00AB74F5" w:rsidP="00AB74F5">
      <w:pPr>
        <w:jc w:val="right"/>
        <w:rPr>
          <w:sz w:val="32"/>
          <w:szCs w:val="32"/>
        </w:rPr>
      </w:pPr>
      <w:r w:rsidRPr="003E0CB8">
        <w:rPr>
          <w:sz w:val="32"/>
          <w:szCs w:val="32"/>
        </w:rPr>
        <w:lastRenderedPageBreak/>
        <w:t xml:space="preserve">APPENDIX </w:t>
      </w:r>
      <w:r w:rsidR="008D3302" w:rsidRPr="003E0CB8">
        <w:rPr>
          <w:sz w:val="32"/>
          <w:szCs w:val="32"/>
        </w:rPr>
        <w:t>D</w:t>
      </w:r>
    </w:p>
    <w:p w:rsidR="00722452" w:rsidRPr="00133B17" w:rsidRDefault="00AB74F5" w:rsidP="00AB74F5">
      <w:pPr>
        <w:spacing w:before="270" w:after="180"/>
        <w:jc w:val="both"/>
        <w:rPr>
          <w:rFonts w:cs="Arial"/>
          <w:noProof/>
          <w:sz w:val="28"/>
          <w:szCs w:val="28"/>
        </w:rPr>
      </w:pPr>
      <w:r w:rsidRPr="00133B17">
        <w:rPr>
          <w:rFonts w:cs="Arial"/>
          <w:noProof/>
          <w:sz w:val="28"/>
          <w:szCs w:val="28"/>
        </w:rPr>
        <w:t xml:space="preserve">Provided by </w:t>
      </w:r>
      <w:r w:rsidR="00631435" w:rsidRPr="00133B17">
        <w:rPr>
          <w:rFonts w:cs="Arial"/>
          <w:noProof/>
          <w:sz w:val="28"/>
          <w:szCs w:val="28"/>
        </w:rPr>
        <w:t>Link Asset Services</w:t>
      </w:r>
      <w:r w:rsidRPr="00133B17">
        <w:rPr>
          <w:rFonts w:cs="Arial"/>
          <w:noProof/>
          <w:sz w:val="28"/>
          <w:szCs w:val="28"/>
        </w:rPr>
        <w:t xml:space="preserve"> Asset Services at </w:t>
      </w:r>
      <w:r w:rsidR="00D11880" w:rsidRPr="00133B17">
        <w:rPr>
          <w:rFonts w:cs="Arial"/>
          <w:noProof/>
          <w:sz w:val="28"/>
          <w:szCs w:val="28"/>
        </w:rPr>
        <w:t>November</w:t>
      </w:r>
      <w:r w:rsidR="00722452" w:rsidRPr="00133B17">
        <w:rPr>
          <w:rFonts w:cs="Arial"/>
          <w:noProof/>
          <w:sz w:val="28"/>
          <w:szCs w:val="28"/>
        </w:rPr>
        <w:t xml:space="preserve"> </w:t>
      </w:r>
      <w:r w:rsidRPr="00133B17">
        <w:rPr>
          <w:rFonts w:cs="Arial"/>
          <w:noProof/>
          <w:sz w:val="28"/>
          <w:szCs w:val="28"/>
        </w:rPr>
        <w:t>201</w:t>
      </w:r>
      <w:r w:rsidR="00D11880" w:rsidRPr="00133B17">
        <w:rPr>
          <w:rFonts w:cs="Arial"/>
          <w:noProof/>
          <w:sz w:val="28"/>
          <w:szCs w:val="28"/>
        </w:rPr>
        <w:t>7</w:t>
      </w:r>
    </w:p>
    <w:p w:rsidR="00AB74F5" w:rsidRPr="00D4544E" w:rsidRDefault="00715BDF" w:rsidP="00AB74F5">
      <w:pPr>
        <w:spacing w:before="270" w:after="180"/>
        <w:jc w:val="both"/>
        <w:rPr>
          <w:rFonts w:cs="Arial"/>
          <w:b/>
          <w:noProof/>
          <w:sz w:val="32"/>
          <w:szCs w:val="32"/>
        </w:rPr>
      </w:pPr>
      <w:r w:rsidRPr="00133B17">
        <w:rPr>
          <w:rFonts w:cs="Arial"/>
          <w:b/>
          <w:noProof/>
          <w:sz w:val="32"/>
          <w:szCs w:val="32"/>
        </w:rPr>
        <w:t>Interest Rate Forecasts 201</w:t>
      </w:r>
      <w:r w:rsidR="003E0CB8" w:rsidRPr="00133B17">
        <w:rPr>
          <w:rFonts w:cs="Arial"/>
          <w:b/>
          <w:noProof/>
          <w:sz w:val="32"/>
          <w:szCs w:val="32"/>
        </w:rPr>
        <w:t>7</w:t>
      </w:r>
      <w:r w:rsidRPr="00133B17">
        <w:rPr>
          <w:rFonts w:cs="Arial"/>
          <w:b/>
          <w:noProof/>
          <w:sz w:val="32"/>
          <w:szCs w:val="32"/>
        </w:rPr>
        <w:t xml:space="preserve"> - 202</w:t>
      </w:r>
      <w:r w:rsidR="003E0CB8" w:rsidRPr="00133B17">
        <w:rPr>
          <w:rFonts w:cs="Arial"/>
          <w:b/>
          <w:noProof/>
          <w:sz w:val="32"/>
          <w:szCs w:val="32"/>
        </w:rPr>
        <w:t>1</w:t>
      </w:r>
    </w:p>
    <w:p w:rsidR="00E24E6F" w:rsidRDefault="00E24E6F" w:rsidP="00E24E6F">
      <w:pPr>
        <w:numPr>
          <w:ilvl w:val="12"/>
          <w:numId w:val="0"/>
        </w:numPr>
        <w:jc w:val="both"/>
        <w:rPr>
          <w:rFonts w:eastAsia="Calibri" w:cs="Arial"/>
          <w:sz w:val="22"/>
          <w:szCs w:val="22"/>
        </w:rPr>
      </w:pPr>
      <w:r w:rsidRPr="00F440D9">
        <w:rPr>
          <w:rFonts w:eastAsia="Calibri" w:cs="Arial"/>
          <w:sz w:val="22"/>
          <w:szCs w:val="22"/>
        </w:rPr>
        <w:t xml:space="preserve">The Council has appointed </w:t>
      </w:r>
      <w:r>
        <w:rPr>
          <w:rFonts w:eastAsia="Calibri" w:cs="Arial"/>
          <w:sz w:val="22"/>
          <w:szCs w:val="22"/>
        </w:rPr>
        <w:t>Link Asset Services</w:t>
      </w:r>
      <w:r w:rsidRPr="00F440D9">
        <w:rPr>
          <w:rFonts w:eastAsia="Calibri" w:cs="Arial"/>
          <w:sz w:val="22"/>
          <w:szCs w:val="22"/>
        </w:rPr>
        <w:t xml:space="preserve"> as its treasury advisor and part of their service is to assist the Council to form</w:t>
      </w:r>
      <w:r>
        <w:rPr>
          <w:rFonts w:eastAsia="Calibri" w:cs="Arial"/>
          <w:sz w:val="22"/>
          <w:szCs w:val="22"/>
        </w:rPr>
        <w:t>ulate a view on interest rates.</w:t>
      </w:r>
      <w:r w:rsidRPr="00F440D9">
        <w:rPr>
          <w:rFonts w:eastAsia="Calibri" w:cs="Arial"/>
          <w:sz w:val="22"/>
          <w:szCs w:val="22"/>
        </w:rPr>
        <w:t xml:space="preserve"> The following table gives our central view.</w:t>
      </w:r>
    </w:p>
    <w:p w:rsidR="00E24E6F" w:rsidRPr="00F440D9" w:rsidRDefault="00E24E6F" w:rsidP="00E24E6F">
      <w:pPr>
        <w:numPr>
          <w:ilvl w:val="12"/>
          <w:numId w:val="0"/>
        </w:numPr>
        <w:jc w:val="both"/>
        <w:rPr>
          <w:rFonts w:eastAsia="Calibri" w:cs="Arial"/>
          <w:sz w:val="22"/>
          <w:szCs w:val="22"/>
        </w:rPr>
      </w:pPr>
    </w:p>
    <w:p w:rsidR="00E24E6F" w:rsidRDefault="00133B17" w:rsidP="00E24E6F">
      <w:pPr>
        <w:numPr>
          <w:ilvl w:val="12"/>
          <w:numId w:val="0"/>
        </w:numPr>
        <w:jc w:val="both"/>
        <w:rPr>
          <w:rFonts w:eastAsia="Calibri" w:cs="Arial"/>
          <w:sz w:val="22"/>
          <w:szCs w:val="22"/>
        </w:rPr>
      </w:pPr>
      <w:r>
        <w:rPr>
          <w:rFonts w:eastAsia="Calibri"/>
          <w:noProof/>
          <w:lang w:eastAsia="en-GB"/>
        </w:rPr>
        <w:drawing>
          <wp:inline distT="0" distB="0" distL="0" distR="0">
            <wp:extent cx="5275580" cy="77343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5580" cy="773430"/>
                    </a:xfrm>
                    <a:prstGeom prst="rect">
                      <a:avLst/>
                    </a:prstGeom>
                    <a:noFill/>
                    <a:ln>
                      <a:noFill/>
                    </a:ln>
                  </pic:spPr>
                </pic:pic>
              </a:graphicData>
            </a:graphic>
          </wp:inline>
        </w:drawing>
      </w:r>
    </w:p>
    <w:p w:rsidR="00E24E6F" w:rsidRPr="00F440D9" w:rsidRDefault="00E24E6F" w:rsidP="00E24E6F">
      <w:pPr>
        <w:numPr>
          <w:ilvl w:val="12"/>
          <w:numId w:val="0"/>
        </w:numPr>
        <w:jc w:val="both"/>
        <w:rPr>
          <w:rFonts w:eastAsia="Calibri" w:cs="Arial"/>
          <w:sz w:val="22"/>
          <w:szCs w:val="22"/>
        </w:rPr>
      </w:pPr>
    </w:p>
    <w:p w:rsidR="00C00737" w:rsidRPr="00FB3E8C" w:rsidRDefault="00C00737" w:rsidP="00C00737">
      <w:pPr>
        <w:numPr>
          <w:ilvl w:val="12"/>
          <w:numId w:val="0"/>
        </w:numPr>
        <w:jc w:val="both"/>
        <w:rPr>
          <w:rFonts w:eastAsia="Calibri" w:cs="Arial"/>
          <w:b/>
          <w:sz w:val="22"/>
          <w:szCs w:val="22"/>
        </w:rPr>
      </w:pPr>
    </w:p>
    <w:p w:rsidR="00C00737" w:rsidRDefault="00C00737" w:rsidP="00C00737">
      <w:pPr>
        <w:jc w:val="both"/>
        <w:rPr>
          <w:rFonts w:eastAsia="Calibri" w:cs="Arial"/>
          <w:sz w:val="22"/>
          <w:szCs w:val="22"/>
        </w:rPr>
      </w:pPr>
      <w:r w:rsidRPr="00FB3E8C">
        <w:rPr>
          <w:rFonts w:eastAsia="Calibri" w:cs="Arial"/>
          <w:b/>
          <w:sz w:val="22"/>
          <w:szCs w:val="22"/>
        </w:rPr>
        <w:t>As expected, the Monetary Policy Committee (MPC) delivered a 0.25% increase in Bank Rate at its meeting on 2 November</w:t>
      </w:r>
      <w:r>
        <w:rPr>
          <w:rFonts w:eastAsia="Calibri" w:cs="Arial"/>
          <w:sz w:val="22"/>
          <w:szCs w:val="22"/>
        </w:rPr>
        <w:t>. This removed the emergency cut in August 2016 after the EU referendum.  The MPC also gave forward guidance that they expected to increase Bank rate only twice more by 0.25% by 2020 to end at 1.00%.  The Link Asset Services forecast as above includes increases in Bank Rate of 0.25% in November 2018, November 2019 and August 2020.</w:t>
      </w:r>
    </w:p>
    <w:p w:rsidR="00C00737" w:rsidRPr="00F440D9" w:rsidRDefault="00C00737" w:rsidP="00C00737">
      <w:pPr>
        <w:spacing w:before="240" w:after="120" w:line="276" w:lineRule="auto"/>
        <w:jc w:val="both"/>
        <w:rPr>
          <w:rFonts w:eastAsia="Calibri" w:cs="Arial"/>
          <w:sz w:val="22"/>
          <w:szCs w:val="22"/>
        </w:rPr>
      </w:pPr>
      <w:r w:rsidRPr="00F440D9">
        <w:rPr>
          <w:rFonts w:eastAsia="Calibri" w:cs="Arial"/>
          <w:sz w:val="22"/>
          <w:szCs w:val="22"/>
        </w:rPr>
        <w:t>The overall longer run trend is for gilt yields and PWLB rates to rise, albeit gently.  It has long been expected, that at some point, there would be a more protracted move from bonds to equities after a historic long-term trend, over about the last 25</w:t>
      </w:r>
      <w:r>
        <w:rPr>
          <w:rFonts w:eastAsia="Calibri" w:cs="Arial"/>
          <w:sz w:val="22"/>
          <w:szCs w:val="22"/>
        </w:rPr>
        <w:t xml:space="preserve"> years, of falling bond yields.</w:t>
      </w:r>
      <w:r w:rsidRPr="00F440D9">
        <w:rPr>
          <w:rFonts w:eastAsia="Calibri" w:cs="Arial"/>
          <w:sz w:val="22"/>
          <w:szCs w:val="22"/>
        </w:rPr>
        <w:t xml:space="preserve"> The action of central banks since the financial crash of 2008, in implementing s</w:t>
      </w:r>
      <w:r>
        <w:rPr>
          <w:rFonts w:eastAsia="Calibri" w:cs="Arial"/>
          <w:sz w:val="22"/>
          <w:szCs w:val="22"/>
        </w:rPr>
        <w:t xml:space="preserve">ubstantial Quantitative Easing, </w:t>
      </w:r>
      <w:r w:rsidRPr="00F440D9">
        <w:rPr>
          <w:rFonts w:eastAsia="Calibri" w:cs="Arial"/>
          <w:sz w:val="22"/>
          <w:szCs w:val="22"/>
        </w:rPr>
        <w:t xml:space="preserve">added further impetus to this downward trend in bond yields and rising bond prices.  Quantitative Easing has also directly led to a rise in equity values as investors searched for higher returns and took on riskier assets.  The sharp rise in bond yields since the US Presidential election in November 2016 has called into question whether the previous trend may go into reverse, especially now the Fed. has taken the lead in reversing monetary policy by starting, in October 2017, a policy of not fully reinvesting proceeds from bonds that it holds when they mature.  </w:t>
      </w:r>
    </w:p>
    <w:p w:rsidR="00C00737" w:rsidRPr="00F440D9" w:rsidRDefault="00C00737" w:rsidP="00C00737">
      <w:pPr>
        <w:spacing w:before="240" w:after="120" w:line="276" w:lineRule="auto"/>
        <w:jc w:val="both"/>
        <w:rPr>
          <w:rFonts w:eastAsia="Calibri" w:cs="Arial"/>
          <w:sz w:val="22"/>
          <w:szCs w:val="22"/>
        </w:rPr>
      </w:pPr>
      <w:r w:rsidRPr="00F440D9">
        <w:rPr>
          <w:rFonts w:eastAsia="Calibri" w:cs="Arial"/>
          <w:sz w:val="22"/>
          <w:szCs w:val="22"/>
        </w:rPr>
        <w:t>Until 2015, monetary policy was focused on providing stimulus to economic growth but has since started to refocus on countering the threat of rising inflationary pressures as stronger economic growth becomes more firmly established. The Fed. has started raising interest rates and this trend is expected to continue during 2018 and 2019.  These increases will make holding US bonds much less attractive and cause their prices to fall, and therefore bond yields to rise. Rising bond yields in the US are likely to exert some upward pressure on bond yields in the UK and other developed economies.  However, the degree of that upward pressure is likely to be dampened by how strong or weak the prospects for economic growth and rising inflation are in each country, and on the degree of progress towards the reversal of monetary policy away from quantitative easing and other credit stimulus measures.</w:t>
      </w:r>
    </w:p>
    <w:p w:rsidR="00C00737" w:rsidRPr="00F440D9" w:rsidRDefault="00C00737" w:rsidP="00C00737">
      <w:pPr>
        <w:spacing w:line="276" w:lineRule="auto"/>
        <w:jc w:val="both"/>
        <w:rPr>
          <w:rFonts w:eastAsia="Calibri" w:cs="Arial"/>
          <w:sz w:val="22"/>
          <w:szCs w:val="22"/>
        </w:rPr>
      </w:pPr>
      <w:r w:rsidRPr="00F440D9">
        <w:rPr>
          <w:rFonts w:eastAsia="Calibri" w:cs="Arial"/>
          <w:sz w:val="22"/>
          <w:szCs w:val="22"/>
        </w:rPr>
        <w:t xml:space="preserve">From time to time, gilt yields – and therefore PWLB rates - can be subject to exceptional levels of volatility due to geo-political, sovereign debt crisis and emerging </w:t>
      </w:r>
      <w:r w:rsidRPr="00F440D9">
        <w:rPr>
          <w:rFonts w:eastAsia="Calibri" w:cs="Arial"/>
          <w:sz w:val="22"/>
          <w:szCs w:val="22"/>
        </w:rPr>
        <w:lastRenderedPageBreak/>
        <w:t>market developments. Such volatility could occur at any time during the forecast period.</w:t>
      </w:r>
    </w:p>
    <w:p w:rsidR="00C00737" w:rsidRDefault="00C00737" w:rsidP="00C00737">
      <w:pPr>
        <w:spacing w:before="240" w:after="120" w:line="276" w:lineRule="auto"/>
        <w:jc w:val="both"/>
        <w:rPr>
          <w:rFonts w:eastAsia="Calibri" w:cs="Arial"/>
          <w:sz w:val="22"/>
          <w:szCs w:val="22"/>
        </w:rPr>
      </w:pPr>
      <w:r w:rsidRPr="00F440D9">
        <w:rPr>
          <w:rFonts w:eastAsia="Calibri" w:cs="Arial"/>
          <w:sz w:val="22"/>
          <w:szCs w:val="22"/>
        </w:rPr>
        <w:t xml:space="preserve">Economic and interest rate forecasting remains difficult with so many external influences weighing on the UK. The above forecasts (and MPC decisions) will be liable to further amendment depending on how economic data and developments in financial markets transpire over the next year. Geopolitical developments, especially in the EU, could also have a major impact. Forecasts for average investment earnings beyond the three-year time horizon will be heavily dependent on economic and political developments. </w:t>
      </w:r>
    </w:p>
    <w:p w:rsidR="00C00737" w:rsidRPr="00DE5291" w:rsidRDefault="00C00737" w:rsidP="00C00737">
      <w:pPr>
        <w:spacing w:before="240" w:after="120"/>
        <w:jc w:val="both"/>
        <w:rPr>
          <w:rFonts w:eastAsia="Calibri" w:cs="Arial"/>
          <w:sz w:val="22"/>
          <w:szCs w:val="22"/>
        </w:rPr>
      </w:pPr>
      <w:r w:rsidRPr="00DE5291">
        <w:rPr>
          <w:rFonts w:eastAsia="Calibri" w:cs="Arial"/>
          <w:sz w:val="22"/>
          <w:szCs w:val="22"/>
        </w:rPr>
        <w:t xml:space="preserve">The overall balance of risks to economic recovery in the UK is probably to the downside, particularly with the current level of uncertainty over the final terms of Brexit. </w:t>
      </w:r>
    </w:p>
    <w:p w:rsidR="00C00737" w:rsidRPr="00F440D9" w:rsidRDefault="00C00737" w:rsidP="00C00737">
      <w:pPr>
        <w:spacing w:before="240" w:after="120"/>
        <w:jc w:val="both"/>
        <w:rPr>
          <w:rFonts w:eastAsia="Calibri" w:cs="Arial"/>
          <w:sz w:val="22"/>
          <w:szCs w:val="22"/>
        </w:rPr>
      </w:pPr>
      <w:r w:rsidRPr="00F440D9">
        <w:rPr>
          <w:rFonts w:eastAsia="Calibri" w:cs="Arial"/>
          <w:sz w:val="22"/>
          <w:szCs w:val="22"/>
        </w:rPr>
        <w:t xml:space="preserve">Downside risks to current forecasts for UK gilt yields and PWLB rates currently include: </w:t>
      </w:r>
    </w:p>
    <w:p w:rsidR="00C00737" w:rsidRPr="00DE5291" w:rsidRDefault="00C00737" w:rsidP="00C00737">
      <w:pPr>
        <w:numPr>
          <w:ilvl w:val="0"/>
          <w:numId w:val="2"/>
        </w:numPr>
        <w:spacing w:before="120" w:after="120" w:line="276" w:lineRule="auto"/>
        <w:ind w:left="1276" w:hanging="425"/>
        <w:jc w:val="both"/>
        <w:rPr>
          <w:rFonts w:eastAsia="Calibri" w:cs="Arial"/>
          <w:color w:val="0D0D0D"/>
          <w:sz w:val="22"/>
          <w:szCs w:val="22"/>
        </w:rPr>
      </w:pPr>
      <w:r>
        <w:rPr>
          <w:rFonts w:eastAsia="Calibri" w:cs="Arial"/>
          <w:color w:val="0D0D0D"/>
          <w:sz w:val="22"/>
          <w:szCs w:val="22"/>
        </w:rPr>
        <w:t xml:space="preserve">The </w:t>
      </w:r>
      <w:r w:rsidRPr="00DE5291">
        <w:rPr>
          <w:rFonts w:eastAsia="Calibri" w:cs="Arial"/>
          <w:color w:val="0D0D0D"/>
          <w:sz w:val="22"/>
          <w:szCs w:val="22"/>
        </w:rPr>
        <w:t xml:space="preserve">Bank of England takes action too quickly over the next three years to raise Bank Rate and causes UK economic growth, and increases in inflation, to be weaker than we currently anticipate. </w:t>
      </w:r>
    </w:p>
    <w:p w:rsidR="00C00737" w:rsidRPr="00DE5291" w:rsidRDefault="00C00737" w:rsidP="00C00737">
      <w:pPr>
        <w:numPr>
          <w:ilvl w:val="0"/>
          <w:numId w:val="2"/>
        </w:numPr>
        <w:spacing w:before="120" w:after="120" w:line="276" w:lineRule="auto"/>
        <w:ind w:left="1276" w:hanging="425"/>
        <w:jc w:val="both"/>
        <w:rPr>
          <w:rFonts w:eastAsia="Calibri" w:cs="Arial"/>
          <w:color w:val="0D0D0D"/>
          <w:sz w:val="22"/>
          <w:szCs w:val="22"/>
        </w:rPr>
      </w:pPr>
      <w:r w:rsidRPr="00DE5291">
        <w:rPr>
          <w:rFonts w:eastAsia="Calibri" w:cs="Arial"/>
          <w:color w:val="0D0D0D"/>
          <w:sz w:val="22"/>
          <w:szCs w:val="22"/>
        </w:rPr>
        <w:t xml:space="preserve">Geopolitical risks, especially North Korea, but also in Europe and the Middle East, which could lead to increasing safe haven flows. </w:t>
      </w:r>
    </w:p>
    <w:p w:rsidR="00C00737" w:rsidRPr="00DE5291" w:rsidRDefault="00C00737" w:rsidP="00C00737">
      <w:pPr>
        <w:numPr>
          <w:ilvl w:val="0"/>
          <w:numId w:val="2"/>
        </w:numPr>
        <w:spacing w:before="120" w:after="120" w:line="276" w:lineRule="auto"/>
        <w:ind w:left="1276" w:hanging="425"/>
        <w:jc w:val="both"/>
        <w:rPr>
          <w:rFonts w:eastAsia="Calibri" w:cs="Arial"/>
          <w:color w:val="0D0D0D"/>
          <w:sz w:val="22"/>
          <w:szCs w:val="22"/>
        </w:rPr>
      </w:pPr>
      <w:r w:rsidRPr="00DE5291">
        <w:rPr>
          <w:rFonts w:eastAsia="Calibri" w:cs="Arial"/>
          <w:color w:val="0D0D0D"/>
          <w:sz w:val="22"/>
          <w:szCs w:val="22"/>
        </w:rPr>
        <w:t>A resurgence of the Eurozone sovereign debt crisis, possibly Italy, due to its high level of government debt, low rate of economic growth and vulnerable banking system.</w:t>
      </w:r>
    </w:p>
    <w:p w:rsidR="00C00737" w:rsidRDefault="00C00737" w:rsidP="00C00737">
      <w:pPr>
        <w:numPr>
          <w:ilvl w:val="0"/>
          <w:numId w:val="2"/>
        </w:numPr>
        <w:spacing w:before="120" w:after="120" w:line="276" w:lineRule="auto"/>
        <w:ind w:left="1276" w:hanging="425"/>
        <w:jc w:val="both"/>
        <w:rPr>
          <w:rFonts w:eastAsia="Calibri" w:cs="Arial"/>
          <w:color w:val="0D0D0D"/>
          <w:sz w:val="22"/>
          <w:szCs w:val="22"/>
        </w:rPr>
      </w:pPr>
      <w:r w:rsidRPr="00DE5291">
        <w:rPr>
          <w:rFonts w:eastAsia="Calibri" w:cs="Arial"/>
          <w:color w:val="0D0D0D"/>
          <w:sz w:val="22"/>
          <w:szCs w:val="22"/>
        </w:rPr>
        <w:t>Weak capitalisation of some European banks.</w:t>
      </w:r>
    </w:p>
    <w:p w:rsidR="00C00737" w:rsidRPr="00BF0802" w:rsidRDefault="00C00737" w:rsidP="00C00737">
      <w:pPr>
        <w:numPr>
          <w:ilvl w:val="0"/>
          <w:numId w:val="2"/>
        </w:numPr>
        <w:spacing w:before="120" w:after="120" w:line="276" w:lineRule="auto"/>
        <w:ind w:left="1276" w:hanging="425"/>
        <w:jc w:val="both"/>
        <w:rPr>
          <w:rFonts w:eastAsia="Calibri" w:cs="Arial"/>
          <w:color w:val="0D0D0D"/>
        </w:rPr>
      </w:pPr>
      <w:r w:rsidRPr="00BF0802">
        <w:rPr>
          <w:rFonts w:eastAsia="Calibri" w:cs="Arial"/>
          <w:color w:val="0D0D0D"/>
          <w:sz w:val="22"/>
          <w:szCs w:val="22"/>
        </w:rPr>
        <w:t>Germany is still without an effective government after the inconclusive result of the general election in October.  In addition, Italy is to hold a general election on 4 March and the anti EU populist Five Star party is currently in the lead in the polls, although it is unlikely to get a working majority on its own.  Both situations could pose major challenges to the overall leadership and direction of the EU as a whole and of the individual respective countries.</w:t>
      </w:r>
      <w:r>
        <w:rPr>
          <w:rFonts w:eastAsia="Calibri" w:cs="Arial"/>
          <w:color w:val="0D0D0D"/>
          <w:sz w:val="22"/>
          <w:szCs w:val="22"/>
        </w:rPr>
        <w:t xml:space="preserve"> Hungary will hold a general election in April 2018.</w:t>
      </w:r>
    </w:p>
    <w:p w:rsidR="00C00737" w:rsidRPr="00DE5291" w:rsidRDefault="00C00737" w:rsidP="00C00737">
      <w:pPr>
        <w:numPr>
          <w:ilvl w:val="0"/>
          <w:numId w:val="2"/>
        </w:numPr>
        <w:spacing w:before="120" w:after="120" w:line="276" w:lineRule="auto"/>
        <w:ind w:left="1276" w:hanging="425"/>
        <w:jc w:val="both"/>
        <w:rPr>
          <w:rFonts w:eastAsia="Calibri" w:cs="Arial"/>
          <w:color w:val="0D0D0D"/>
          <w:sz w:val="22"/>
          <w:szCs w:val="22"/>
        </w:rPr>
      </w:pPr>
      <w:r w:rsidRPr="00DE5291">
        <w:rPr>
          <w:rFonts w:eastAsia="Calibri" w:cs="Arial"/>
          <w:color w:val="0D0D0D"/>
          <w:sz w:val="22"/>
          <w:szCs w:val="22"/>
        </w:rPr>
        <w:t>The result of the October 2017 Austrian general election</w:t>
      </w:r>
      <w:r>
        <w:rPr>
          <w:rFonts w:eastAsia="Calibri" w:cs="Arial"/>
          <w:color w:val="0D0D0D"/>
          <w:sz w:val="22"/>
          <w:szCs w:val="22"/>
        </w:rPr>
        <w:t xml:space="preserve"> has now </w:t>
      </w:r>
      <w:r w:rsidR="00A5699B">
        <w:rPr>
          <w:rFonts w:eastAsia="Calibri" w:cs="Arial"/>
          <w:color w:val="0D0D0D"/>
          <w:sz w:val="22"/>
          <w:szCs w:val="22"/>
        </w:rPr>
        <w:t xml:space="preserve">resulted </w:t>
      </w:r>
      <w:r w:rsidR="00A5699B" w:rsidRPr="00DE5291">
        <w:rPr>
          <w:rFonts w:eastAsia="Calibri" w:cs="Arial"/>
          <w:color w:val="0D0D0D"/>
          <w:sz w:val="22"/>
          <w:szCs w:val="22"/>
        </w:rPr>
        <w:t>in</w:t>
      </w:r>
      <w:r w:rsidRPr="00DE5291">
        <w:rPr>
          <w:rFonts w:eastAsia="Calibri" w:cs="Arial"/>
          <w:color w:val="0D0D0D"/>
          <w:sz w:val="22"/>
          <w:szCs w:val="22"/>
        </w:rPr>
        <w:t xml:space="preserve"> a strongly anti-immigrant coalition government.  In addition, the Czech </w:t>
      </w:r>
      <w:r>
        <w:rPr>
          <w:rFonts w:eastAsia="Calibri" w:cs="Arial"/>
          <w:color w:val="0D0D0D"/>
          <w:sz w:val="22"/>
          <w:szCs w:val="22"/>
        </w:rPr>
        <w:t xml:space="preserve">ANO party became the largest party in the October 2017 general election on a platform of being </w:t>
      </w:r>
      <w:r w:rsidRPr="00DE5291">
        <w:rPr>
          <w:rFonts w:eastAsia="Calibri" w:cs="Arial"/>
          <w:color w:val="0D0D0D"/>
          <w:sz w:val="22"/>
          <w:szCs w:val="22"/>
        </w:rPr>
        <w:t>strongly against EU migrant quotas and refugee policies. Both developments could provide major impetus to other, particularly former Communist bloc countries, to coalesce to create a major block to progress on EU integration and centralisation of EU policy.  This, in turn, could spill over into impacting the Euro, EU financial policy and financial markets.</w:t>
      </w:r>
    </w:p>
    <w:p w:rsidR="00C00737" w:rsidRPr="00DE5291" w:rsidRDefault="00C00737" w:rsidP="00C00737">
      <w:pPr>
        <w:numPr>
          <w:ilvl w:val="0"/>
          <w:numId w:val="2"/>
        </w:numPr>
        <w:spacing w:before="120" w:after="120" w:line="276" w:lineRule="auto"/>
        <w:ind w:left="1276" w:hanging="425"/>
        <w:jc w:val="both"/>
        <w:rPr>
          <w:rFonts w:eastAsia="Calibri" w:cs="Arial"/>
          <w:color w:val="0D0D0D"/>
          <w:sz w:val="22"/>
          <w:szCs w:val="22"/>
        </w:rPr>
      </w:pPr>
      <w:r w:rsidRPr="00DE5291">
        <w:rPr>
          <w:rFonts w:eastAsia="Calibri" w:cs="Arial"/>
          <w:color w:val="0D0D0D"/>
          <w:sz w:val="22"/>
          <w:szCs w:val="22"/>
        </w:rPr>
        <w:t>Rising protectionism under President Trump</w:t>
      </w:r>
    </w:p>
    <w:p w:rsidR="00C00737" w:rsidRPr="00DE5291" w:rsidRDefault="00C00737" w:rsidP="00C00737">
      <w:pPr>
        <w:numPr>
          <w:ilvl w:val="0"/>
          <w:numId w:val="2"/>
        </w:numPr>
        <w:spacing w:before="120" w:after="120" w:line="276" w:lineRule="auto"/>
        <w:ind w:left="1276" w:hanging="425"/>
        <w:jc w:val="both"/>
        <w:rPr>
          <w:rFonts w:eastAsia="Calibri" w:cs="Arial"/>
          <w:color w:val="0D0D0D"/>
          <w:sz w:val="22"/>
          <w:szCs w:val="22"/>
        </w:rPr>
      </w:pPr>
      <w:r w:rsidRPr="00DE5291">
        <w:rPr>
          <w:rFonts w:eastAsia="Calibri" w:cs="Arial"/>
          <w:color w:val="0D0D0D"/>
          <w:sz w:val="22"/>
          <w:szCs w:val="22"/>
        </w:rPr>
        <w:t>A sharp Chinese downturn and its impact on emerging market countries</w:t>
      </w:r>
    </w:p>
    <w:p w:rsidR="002A66BD" w:rsidRDefault="002A66BD" w:rsidP="00C00737">
      <w:pPr>
        <w:spacing w:before="240" w:after="120"/>
        <w:jc w:val="both"/>
        <w:rPr>
          <w:rFonts w:eastAsia="Calibri" w:cs="Arial"/>
          <w:sz w:val="22"/>
          <w:szCs w:val="22"/>
        </w:rPr>
      </w:pPr>
    </w:p>
    <w:p w:rsidR="00C00737" w:rsidRPr="00F440D9" w:rsidRDefault="00C00737" w:rsidP="00C00737">
      <w:pPr>
        <w:spacing w:before="240" w:after="120"/>
        <w:jc w:val="both"/>
        <w:rPr>
          <w:rFonts w:eastAsia="Calibri" w:cs="Arial"/>
          <w:sz w:val="22"/>
          <w:szCs w:val="22"/>
        </w:rPr>
      </w:pPr>
      <w:r w:rsidRPr="00F440D9">
        <w:rPr>
          <w:rFonts w:eastAsia="Calibri" w:cs="Arial"/>
          <w:sz w:val="22"/>
          <w:szCs w:val="22"/>
        </w:rPr>
        <w:lastRenderedPageBreak/>
        <w:t>The potential for upside risks to current forecasts for UK gilt yields and PWLB rates, especially for longer term PWLB rates include: -</w:t>
      </w:r>
    </w:p>
    <w:p w:rsidR="00C00737" w:rsidRPr="00DE5291" w:rsidRDefault="00C00737" w:rsidP="00C00737">
      <w:pPr>
        <w:numPr>
          <w:ilvl w:val="0"/>
          <w:numId w:val="2"/>
        </w:numPr>
        <w:spacing w:before="120" w:after="120" w:line="276" w:lineRule="auto"/>
        <w:ind w:left="1276" w:hanging="425"/>
        <w:jc w:val="both"/>
        <w:rPr>
          <w:rFonts w:eastAsia="Calibri" w:cs="Arial"/>
          <w:color w:val="0D0D0D"/>
          <w:sz w:val="22"/>
          <w:szCs w:val="22"/>
        </w:rPr>
      </w:pPr>
      <w:r w:rsidRPr="00DE5291">
        <w:rPr>
          <w:rFonts w:eastAsia="Calibri" w:cs="Arial"/>
          <w:color w:val="0D0D0D"/>
          <w:sz w:val="22"/>
          <w:szCs w:val="22"/>
        </w:rPr>
        <w:t xml:space="preserve">The Bank of England is too slow in its pace and strength of increases in Bank Rate and, therefore, allows inflation pressures to build up too strongly within the UK economy, which then necessitates a later rapid series of increases in Bank Rate faster than we currently expect. </w:t>
      </w:r>
    </w:p>
    <w:p w:rsidR="00C00737" w:rsidRPr="00DE5291" w:rsidRDefault="00C00737" w:rsidP="00C00737">
      <w:pPr>
        <w:numPr>
          <w:ilvl w:val="0"/>
          <w:numId w:val="2"/>
        </w:numPr>
        <w:spacing w:before="120" w:after="120" w:line="276" w:lineRule="auto"/>
        <w:ind w:left="1276" w:hanging="425"/>
        <w:jc w:val="both"/>
        <w:rPr>
          <w:rFonts w:eastAsia="Calibri" w:cs="Arial"/>
          <w:color w:val="0D0D0D"/>
          <w:sz w:val="22"/>
          <w:szCs w:val="22"/>
        </w:rPr>
      </w:pPr>
      <w:r w:rsidRPr="00DE5291">
        <w:rPr>
          <w:rFonts w:eastAsia="Calibri" w:cs="Arial"/>
          <w:color w:val="0D0D0D"/>
          <w:sz w:val="22"/>
          <w:szCs w:val="22"/>
        </w:rPr>
        <w:t xml:space="preserve">UK inflation returning to sustained significantly higher levels causing an increase in the inflation premium inherent to gilt yields. </w:t>
      </w:r>
    </w:p>
    <w:p w:rsidR="00C00737" w:rsidRPr="00DE5291" w:rsidRDefault="00C00737" w:rsidP="00C00737">
      <w:pPr>
        <w:numPr>
          <w:ilvl w:val="0"/>
          <w:numId w:val="2"/>
        </w:numPr>
        <w:spacing w:before="120" w:after="120" w:line="276" w:lineRule="auto"/>
        <w:ind w:left="1276" w:hanging="425"/>
        <w:jc w:val="both"/>
        <w:rPr>
          <w:rFonts w:eastAsia="Calibri" w:cs="Arial"/>
          <w:color w:val="0D0D0D"/>
          <w:sz w:val="22"/>
          <w:szCs w:val="22"/>
        </w:rPr>
      </w:pPr>
      <w:r w:rsidRPr="00DE5291">
        <w:rPr>
          <w:rFonts w:eastAsia="Calibri" w:cs="Arial"/>
          <w:color w:val="0D0D0D"/>
          <w:sz w:val="22"/>
          <w:szCs w:val="22"/>
        </w:rPr>
        <w:t>The Fed causing a sudden shock in financial markets through misjudging the pace and strength of increases in its Fed. Funds Rate and in the pace and strength of reversal of Quantitative Easing, which then leads to a fundamental reassessment by investors of the relative risks of holding bonds, as opposed to equities.  This could lead to a major flight from bonds to equities and a sharp increase in bond yields in the US, which could then spill over into impacting bond yields around the world.</w:t>
      </w:r>
    </w:p>
    <w:p w:rsidR="00C00737" w:rsidRPr="00F440D9" w:rsidRDefault="00C00737" w:rsidP="00C00737">
      <w:pPr>
        <w:jc w:val="both"/>
        <w:rPr>
          <w:rFonts w:eastAsia="Calibri" w:cs="Arial"/>
          <w:sz w:val="22"/>
          <w:szCs w:val="22"/>
        </w:rPr>
      </w:pPr>
    </w:p>
    <w:p w:rsidR="00C00737" w:rsidRPr="00F440D9" w:rsidRDefault="00C00737" w:rsidP="00C00737">
      <w:pPr>
        <w:numPr>
          <w:ilvl w:val="12"/>
          <w:numId w:val="0"/>
        </w:numPr>
        <w:jc w:val="both"/>
        <w:rPr>
          <w:rFonts w:eastAsia="Calibri" w:cs="Arial"/>
          <w:b/>
          <w:bCs/>
          <w:sz w:val="22"/>
          <w:szCs w:val="22"/>
        </w:rPr>
      </w:pPr>
      <w:r w:rsidRPr="00F440D9">
        <w:rPr>
          <w:rFonts w:eastAsia="Calibri" w:cs="Arial"/>
          <w:b/>
          <w:bCs/>
          <w:sz w:val="22"/>
          <w:szCs w:val="22"/>
        </w:rPr>
        <w:t>Investment and borrowing rates</w:t>
      </w:r>
    </w:p>
    <w:p w:rsidR="00C00737" w:rsidRPr="00F440D9" w:rsidRDefault="00C00737" w:rsidP="00C00737">
      <w:pPr>
        <w:numPr>
          <w:ilvl w:val="12"/>
          <w:numId w:val="0"/>
        </w:numPr>
        <w:jc w:val="both"/>
        <w:rPr>
          <w:rFonts w:eastAsia="Calibri" w:cs="Arial"/>
          <w:b/>
          <w:bCs/>
          <w:sz w:val="22"/>
          <w:szCs w:val="22"/>
        </w:rPr>
      </w:pPr>
    </w:p>
    <w:p w:rsidR="00C00737" w:rsidRPr="00F440D9" w:rsidRDefault="00C00737" w:rsidP="00C00737">
      <w:pPr>
        <w:numPr>
          <w:ilvl w:val="0"/>
          <w:numId w:val="5"/>
        </w:numPr>
        <w:tabs>
          <w:tab w:val="clear" w:pos="1980"/>
          <w:tab w:val="num" w:pos="900"/>
        </w:tabs>
        <w:spacing w:after="210"/>
        <w:ind w:left="600"/>
        <w:jc w:val="both"/>
        <w:rPr>
          <w:rFonts w:eastAsia="Calibri" w:cs="Arial"/>
          <w:color w:val="0D0D0D"/>
          <w:sz w:val="22"/>
          <w:szCs w:val="22"/>
        </w:rPr>
      </w:pPr>
      <w:r w:rsidRPr="00F440D9">
        <w:rPr>
          <w:rFonts w:eastAsia="Calibri" w:cs="Arial"/>
          <w:color w:val="0D0D0D"/>
          <w:sz w:val="22"/>
          <w:szCs w:val="22"/>
        </w:rPr>
        <w:t>Investment returns are likely to remain low during 2018/19 but to be on a gently rising trend over the next few years.</w:t>
      </w:r>
    </w:p>
    <w:p w:rsidR="00C00737" w:rsidRPr="00F440D9" w:rsidRDefault="00C00737" w:rsidP="00C00737">
      <w:pPr>
        <w:numPr>
          <w:ilvl w:val="0"/>
          <w:numId w:val="5"/>
        </w:numPr>
        <w:tabs>
          <w:tab w:val="clear" w:pos="1980"/>
          <w:tab w:val="num" w:pos="900"/>
        </w:tabs>
        <w:spacing w:after="210"/>
        <w:ind w:left="600"/>
        <w:jc w:val="both"/>
        <w:rPr>
          <w:rFonts w:eastAsia="Calibri" w:cs="Arial"/>
          <w:color w:val="0D0D0D"/>
          <w:sz w:val="22"/>
          <w:szCs w:val="22"/>
        </w:rPr>
      </w:pPr>
      <w:r w:rsidRPr="00F440D9">
        <w:rPr>
          <w:rFonts w:eastAsia="Calibri" w:cs="Arial"/>
          <w:color w:val="0D0D0D"/>
          <w:sz w:val="22"/>
          <w:szCs w:val="22"/>
        </w:rPr>
        <w:t xml:space="preserve">Borrowing interest rates increased sharply after the result of the general election in June and then also after the September MPC meeting when financial markets reacted by accelerating their expectations for the timing of Bank Rate increases.  </w:t>
      </w:r>
      <w:r>
        <w:rPr>
          <w:rFonts w:eastAsia="Calibri" w:cs="Arial"/>
          <w:color w:val="0D0D0D"/>
          <w:sz w:val="22"/>
          <w:szCs w:val="22"/>
        </w:rPr>
        <w:t xml:space="preserve">Since then, borrowing rates have eased back again somewhat.  </w:t>
      </w:r>
      <w:r w:rsidRPr="00F440D9">
        <w:rPr>
          <w:rFonts w:eastAsia="Calibri" w:cs="Arial"/>
          <w:color w:val="0D0D0D"/>
          <w:sz w:val="22"/>
          <w:szCs w:val="22"/>
        </w:rPr>
        <w:t>Apart from that, there has been little general trend in rates during the current financial year. The policy of avoiding new borrowing by running down spare cash balances has served well over the last few years.  However, this needs to be carefully reviewed to avoid incurring higher borrowing costs in the future when authorities may not be able to avoid new borrowing to finance capital expenditure and/or the refinancing of maturing debt;</w:t>
      </w:r>
    </w:p>
    <w:p w:rsidR="00C00737" w:rsidRDefault="00C00737" w:rsidP="00C00737">
      <w:pPr>
        <w:numPr>
          <w:ilvl w:val="0"/>
          <w:numId w:val="5"/>
        </w:numPr>
        <w:tabs>
          <w:tab w:val="clear" w:pos="1980"/>
          <w:tab w:val="num" w:pos="900"/>
        </w:tabs>
        <w:spacing w:after="210"/>
        <w:ind w:left="600"/>
        <w:jc w:val="both"/>
        <w:rPr>
          <w:rFonts w:eastAsia="Calibri" w:cs="Arial"/>
          <w:color w:val="0D0D0D"/>
          <w:sz w:val="22"/>
          <w:szCs w:val="22"/>
        </w:rPr>
      </w:pPr>
      <w:r w:rsidRPr="00040521">
        <w:rPr>
          <w:rFonts w:eastAsia="Calibri" w:cs="Arial"/>
          <w:color w:val="0D0D0D"/>
          <w:sz w:val="22"/>
          <w:szCs w:val="22"/>
        </w:rPr>
        <w:t>There will remain a cost of carry to any new long-term borrowing that causes a temporary increase in cash balances as this position will, most likely, incur a revenue cost – the difference between borrowing costs and investment returns.</w:t>
      </w:r>
    </w:p>
    <w:p w:rsidR="00CF6FAC" w:rsidRDefault="00CF6FAC">
      <w:pPr>
        <w:rPr>
          <w:b/>
          <w:sz w:val="32"/>
          <w:szCs w:val="32"/>
          <w:highlight w:val="yellow"/>
        </w:rPr>
      </w:pPr>
      <w:r>
        <w:rPr>
          <w:b/>
          <w:sz w:val="32"/>
          <w:szCs w:val="32"/>
          <w:highlight w:val="yellow"/>
        </w:rPr>
        <w:br w:type="page"/>
      </w:r>
    </w:p>
    <w:p w:rsidR="00DA2B16" w:rsidRPr="00CF6FAC" w:rsidRDefault="00DA2B16" w:rsidP="00DA2B16">
      <w:pPr>
        <w:jc w:val="right"/>
        <w:rPr>
          <w:b/>
          <w:sz w:val="32"/>
          <w:szCs w:val="32"/>
        </w:rPr>
      </w:pPr>
      <w:r w:rsidRPr="00CF6FAC">
        <w:rPr>
          <w:b/>
          <w:sz w:val="32"/>
          <w:szCs w:val="32"/>
        </w:rPr>
        <w:lastRenderedPageBreak/>
        <w:t xml:space="preserve">APPENDIX </w:t>
      </w:r>
      <w:r w:rsidR="008D3302" w:rsidRPr="00CF6FAC">
        <w:rPr>
          <w:b/>
          <w:sz w:val="32"/>
          <w:szCs w:val="32"/>
        </w:rPr>
        <w:t>E</w:t>
      </w:r>
    </w:p>
    <w:p w:rsidR="00DA2B16" w:rsidRPr="00CF6FAC" w:rsidRDefault="00DA2B16" w:rsidP="00DA2B16">
      <w:pPr>
        <w:spacing w:before="270" w:after="180"/>
        <w:jc w:val="both"/>
        <w:rPr>
          <w:rFonts w:cs="Arial"/>
          <w:b/>
          <w:noProof/>
          <w:sz w:val="28"/>
          <w:szCs w:val="28"/>
        </w:rPr>
      </w:pPr>
      <w:bookmarkStart w:id="13" w:name="_Toc339459972"/>
      <w:r w:rsidRPr="00CF6FAC">
        <w:rPr>
          <w:rFonts w:cs="Arial"/>
          <w:b/>
          <w:noProof/>
          <w:sz w:val="28"/>
          <w:szCs w:val="28"/>
        </w:rPr>
        <w:t xml:space="preserve">Provided by </w:t>
      </w:r>
      <w:r w:rsidR="00631435" w:rsidRPr="00CF6FAC">
        <w:rPr>
          <w:rFonts w:cs="Arial"/>
          <w:b/>
          <w:noProof/>
          <w:sz w:val="28"/>
          <w:szCs w:val="28"/>
        </w:rPr>
        <w:t>Link Asset Services</w:t>
      </w:r>
      <w:r w:rsidRPr="00CF6FAC">
        <w:rPr>
          <w:rFonts w:cs="Arial"/>
          <w:b/>
          <w:noProof/>
          <w:sz w:val="28"/>
          <w:szCs w:val="28"/>
        </w:rPr>
        <w:t xml:space="preserve"> Asset Services at </w:t>
      </w:r>
      <w:r w:rsidR="00722452" w:rsidRPr="00CF6FAC">
        <w:rPr>
          <w:rFonts w:cs="Arial"/>
          <w:b/>
          <w:noProof/>
          <w:sz w:val="28"/>
          <w:szCs w:val="28"/>
        </w:rPr>
        <w:t xml:space="preserve">20 </w:t>
      </w:r>
      <w:r w:rsidR="00724719" w:rsidRPr="00CF6FAC">
        <w:rPr>
          <w:rFonts w:cs="Arial"/>
          <w:b/>
          <w:noProof/>
          <w:sz w:val="28"/>
          <w:szCs w:val="28"/>
        </w:rPr>
        <w:t>November 2017</w:t>
      </w:r>
    </w:p>
    <w:p w:rsidR="00E24E6F" w:rsidRPr="00437704" w:rsidRDefault="00E24E6F" w:rsidP="00E24E6F">
      <w:pPr>
        <w:pStyle w:val="subhead"/>
        <w:numPr>
          <w:ilvl w:val="0"/>
          <w:numId w:val="0"/>
        </w:numPr>
        <w:rPr>
          <w:noProof w:val="0"/>
          <w:lang w:eastAsia="en-GB"/>
        </w:rPr>
      </w:pPr>
      <w:r w:rsidRPr="00437704">
        <w:rPr>
          <w:noProof w:val="0"/>
          <w:lang w:eastAsia="en-GB"/>
        </w:rPr>
        <w:t>ECONOMIC BACKGROUND</w:t>
      </w:r>
    </w:p>
    <w:p w:rsidR="00C00737" w:rsidRPr="00FF1F89" w:rsidRDefault="00C00737" w:rsidP="00C00737">
      <w:pPr>
        <w:jc w:val="both"/>
        <w:rPr>
          <w:rFonts w:eastAsia="Calibri" w:cs="Arial"/>
          <w:color w:val="0D0D0D"/>
          <w:sz w:val="22"/>
          <w:szCs w:val="22"/>
        </w:rPr>
      </w:pPr>
      <w:r w:rsidRPr="00FF1F89">
        <w:rPr>
          <w:rFonts w:eastAsia="Calibri" w:cs="Arial"/>
          <w:b/>
          <w:bCs/>
          <w:color w:val="0D0D0D"/>
          <w:sz w:val="22"/>
          <w:szCs w:val="22"/>
        </w:rPr>
        <w:t>GLOBAL OUTLOOK.  World growth</w:t>
      </w:r>
      <w:r w:rsidRPr="00FF1F89">
        <w:rPr>
          <w:rFonts w:eastAsia="Calibri" w:cs="Arial"/>
          <w:color w:val="0D0D0D"/>
          <w:sz w:val="22"/>
          <w:szCs w:val="22"/>
        </w:rPr>
        <w:t xml:space="preserve"> looks to be on an encouraging trend of stronger performance, rising earnings and falling levels of unemployment.  In October, the IMF upgraded its forecast for world growth from 3.2% to 3.6% for 2017 and 3.7% for 2018.  </w:t>
      </w:r>
    </w:p>
    <w:p w:rsidR="00C00737" w:rsidRPr="00FF1F89" w:rsidRDefault="00C00737" w:rsidP="00C00737">
      <w:pPr>
        <w:numPr>
          <w:ilvl w:val="12"/>
          <w:numId w:val="0"/>
        </w:numPr>
        <w:jc w:val="both"/>
        <w:rPr>
          <w:rFonts w:eastAsia="Calibri" w:cs="Arial"/>
          <w:color w:val="0D0D0D"/>
          <w:sz w:val="22"/>
          <w:szCs w:val="22"/>
        </w:rPr>
      </w:pPr>
    </w:p>
    <w:p w:rsidR="00C00737" w:rsidRPr="00FF1F89" w:rsidRDefault="00C00737" w:rsidP="00C00737">
      <w:pPr>
        <w:numPr>
          <w:ilvl w:val="12"/>
          <w:numId w:val="0"/>
        </w:numPr>
        <w:jc w:val="both"/>
        <w:rPr>
          <w:rFonts w:eastAsia="Calibri" w:cs="Arial"/>
          <w:color w:val="0D0D0D"/>
          <w:sz w:val="22"/>
          <w:szCs w:val="22"/>
        </w:rPr>
      </w:pPr>
      <w:r w:rsidRPr="00FF1F89">
        <w:rPr>
          <w:rFonts w:eastAsia="Calibri" w:cs="Arial"/>
          <w:color w:val="0D0D0D"/>
          <w:sz w:val="22"/>
          <w:szCs w:val="22"/>
        </w:rPr>
        <w:t xml:space="preserve">In addition, </w:t>
      </w:r>
      <w:r w:rsidRPr="00FF1F89">
        <w:rPr>
          <w:rFonts w:eastAsia="Calibri" w:cs="Arial"/>
          <w:b/>
          <w:bCs/>
          <w:color w:val="0D0D0D"/>
          <w:sz w:val="22"/>
          <w:szCs w:val="22"/>
        </w:rPr>
        <w:t>inflation prospects are generally muted</w:t>
      </w:r>
      <w:r w:rsidRPr="00FF1F89">
        <w:rPr>
          <w:rFonts w:eastAsia="Calibri" w:cs="Arial"/>
          <w:color w:val="0D0D0D"/>
          <w:sz w:val="22"/>
          <w:szCs w:val="22"/>
        </w:rPr>
        <w:t xml:space="preserve"> and it is particularly notable that </w:t>
      </w:r>
      <w:r w:rsidRPr="00FF1F89">
        <w:rPr>
          <w:rFonts w:eastAsia="Calibri" w:cs="Arial"/>
          <w:b/>
          <w:bCs/>
          <w:color w:val="0D0D0D"/>
          <w:sz w:val="22"/>
          <w:szCs w:val="22"/>
        </w:rPr>
        <w:t>wage inflation</w:t>
      </w:r>
      <w:r w:rsidRPr="00FF1F89">
        <w:rPr>
          <w:rFonts w:eastAsia="Calibri" w:cs="Arial"/>
          <w:color w:val="0D0D0D"/>
          <w:sz w:val="22"/>
          <w:szCs w:val="22"/>
        </w:rPr>
        <w:t xml:space="preserve"> has been subdued despite unemployment falling to historically very low levels in the UK and US. This has led to many comments by economists that there appears to have been a fundamental shift downwards in the Phillips curve (this plots the correlation between levels of unemployment and inflation e.g. if the former is low the latter tends to be high).  In turn, this raises the question of what has caused this?  The likely answers probably lay in a combination of a shift towards flexible working, self-employment, falling union membership and a consequent reduction in union power and influence in the economy, and increasing globalisation and specialisation of individual countries, which has meant that labour in one country is in competition with labour in other countries which may be offering lower wage rates, increased productivity or a combination of the two. In addition, technology is probably also exerting downward pressure on wage rates and this is likely to grow with an accelerating movement towards automation, robots and artificial intelligence, leading to many repetitive tasks being taken over by machines or computers. Indeed, this is now being labelled as being the start of the </w:t>
      </w:r>
      <w:r w:rsidRPr="00FF1F89">
        <w:rPr>
          <w:rFonts w:eastAsia="Calibri" w:cs="Arial"/>
          <w:b/>
          <w:bCs/>
          <w:color w:val="0D0D0D"/>
          <w:sz w:val="22"/>
          <w:szCs w:val="22"/>
        </w:rPr>
        <w:t>fourth industrial revolution.</w:t>
      </w:r>
    </w:p>
    <w:p w:rsidR="00C00737" w:rsidRPr="00FF1F89" w:rsidRDefault="00C00737" w:rsidP="00C00737">
      <w:pPr>
        <w:numPr>
          <w:ilvl w:val="12"/>
          <w:numId w:val="0"/>
        </w:numPr>
        <w:jc w:val="both"/>
        <w:rPr>
          <w:rFonts w:eastAsia="Calibri" w:cs="Arial"/>
          <w:color w:val="0D0D0D"/>
          <w:sz w:val="22"/>
          <w:szCs w:val="22"/>
        </w:rPr>
      </w:pPr>
    </w:p>
    <w:p w:rsidR="00C00737" w:rsidRPr="00FF1F89" w:rsidRDefault="00C00737" w:rsidP="00C00737">
      <w:pPr>
        <w:numPr>
          <w:ilvl w:val="12"/>
          <w:numId w:val="0"/>
        </w:numPr>
        <w:jc w:val="both"/>
        <w:rPr>
          <w:rFonts w:eastAsia="Calibri" w:cs="Arial"/>
          <w:b/>
          <w:bCs/>
          <w:color w:val="0D0D0D"/>
          <w:sz w:val="22"/>
          <w:szCs w:val="22"/>
        </w:rPr>
      </w:pPr>
      <w:r w:rsidRPr="00FF1F89">
        <w:rPr>
          <w:rFonts w:eastAsia="Calibri" w:cs="Arial"/>
          <w:b/>
          <w:bCs/>
          <w:color w:val="0D0D0D"/>
          <w:sz w:val="22"/>
          <w:szCs w:val="22"/>
        </w:rPr>
        <w:t>KEY RISKS - central bank monetary policy measures</w:t>
      </w:r>
    </w:p>
    <w:p w:rsidR="00C00737" w:rsidRPr="00FF1F89" w:rsidRDefault="00C00737" w:rsidP="00C00737">
      <w:pPr>
        <w:numPr>
          <w:ilvl w:val="12"/>
          <w:numId w:val="0"/>
        </w:numPr>
        <w:jc w:val="both"/>
        <w:rPr>
          <w:rFonts w:eastAsia="Calibri" w:cs="Arial"/>
          <w:color w:val="0D0D0D"/>
          <w:sz w:val="22"/>
          <w:szCs w:val="22"/>
        </w:rPr>
      </w:pPr>
      <w:r w:rsidRPr="00FF1F89">
        <w:rPr>
          <w:rFonts w:eastAsia="Calibri" w:cs="Arial"/>
          <w:color w:val="0D0D0D"/>
          <w:sz w:val="22"/>
          <w:szCs w:val="22"/>
        </w:rPr>
        <w:t>Looking back on nearly ten years since the financial crash of 2008 when liquidity suddenly dried up in financial markets, it can be assessed that central banks’ monetary policy measures to counter the sharp wo</w:t>
      </w:r>
      <w:r>
        <w:rPr>
          <w:rFonts w:eastAsia="Calibri" w:cs="Arial"/>
          <w:color w:val="0D0D0D"/>
          <w:sz w:val="22"/>
          <w:szCs w:val="22"/>
        </w:rPr>
        <w:t>rld recession were successful. </w:t>
      </w:r>
      <w:r w:rsidRPr="00FF1F89">
        <w:rPr>
          <w:rFonts w:eastAsia="Calibri" w:cs="Arial"/>
          <w:color w:val="0D0D0D"/>
          <w:sz w:val="22"/>
          <w:szCs w:val="22"/>
        </w:rPr>
        <w:t>The key monetary policy measures they used were a combination of lowering central interest rates and flooding financial markets with liquidity, particularly through unconventional means such as Quantitative Easing (QE), where central banks bought large amounts of central government debt and smaller sums of other debt.</w:t>
      </w:r>
    </w:p>
    <w:p w:rsidR="00C00737" w:rsidRPr="00FF1F89" w:rsidRDefault="00C00737" w:rsidP="00C00737">
      <w:pPr>
        <w:numPr>
          <w:ilvl w:val="12"/>
          <w:numId w:val="0"/>
        </w:numPr>
        <w:jc w:val="both"/>
        <w:rPr>
          <w:rFonts w:eastAsia="Calibri" w:cs="Arial"/>
          <w:color w:val="0D0D0D"/>
          <w:sz w:val="22"/>
          <w:szCs w:val="22"/>
        </w:rPr>
      </w:pPr>
    </w:p>
    <w:p w:rsidR="00C00737" w:rsidRPr="00FF1F89" w:rsidRDefault="00C00737" w:rsidP="00C00737">
      <w:pPr>
        <w:numPr>
          <w:ilvl w:val="12"/>
          <w:numId w:val="0"/>
        </w:numPr>
        <w:jc w:val="both"/>
        <w:rPr>
          <w:rFonts w:eastAsia="Calibri" w:cs="Arial"/>
          <w:color w:val="0D0D0D"/>
          <w:sz w:val="22"/>
          <w:szCs w:val="22"/>
        </w:rPr>
      </w:pPr>
      <w:r w:rsidRPr="00FF1F89">
        <w:rPr>
          <w:rFonts w:eastAsia="Calibri" w:cs="Arial"/>
          <w:color w:val="0D0D0D"/>
          <w:sz w:val="22"/>
          <w:szCs w:val="22"/>
        </w:rPr>
        <w:t>The key issue now is that that period of stimulating economic recovery and warding off the threat of deflation is coming towards its close and a new perio</w:t>
      </w:r>
      <w:r>
        <w:rPr>
          <w:rFonts w:eastAsia="Calibri" w:cs="Arial"/>
          <w:color w:val="0D0D0D"/>
          <w:sz w:val="22"/>
          <w:szCs w:val="22"/>
        </w:rPr>
        <w:t>d has already started in the US,</w:t>
      </w:r>
      <w:r w:rsidRPr="00FF1F89">
        <w:rPr>
          <w:rFonts w:eastAsia="Calibri" w:cs="Arial"/>
          <w:color w:val="0D0D0D"/>
          <w:sz w:val="22"/>
          <w:szCs w:val="22"/>
        </w:rPr>
        <w:t xml:space="preserve"> and</w:t>
      </w:r>
      <w:r>
        <w:rPr>
          <w:rFonts w:eastAsia="Calibri" w:cs="Arial"/>
          <w:color w:val="0D0D0D"/>
          <w:sz w:val="22"/>
          <w:szCs w:val="22"/>
        </w:rPr>
        <w:t xml:space="preserve"> more recently </w:t>
      </w:r>
      <w:r w:rsidRPr="00FF1F89">
        <w:rPr>
          <w:rFonts w:eastAsia="Calibri" w:cs="Arial"/>
          <w:color w:val="0D0D0D"/>
          <w:sz w:val="22"/>
          <w:szCs w:val="22"/>
        </w:rPr>
        <w:t xml:space="preserve">in the UK, on reversing those measures i.e. by raising central rates and </w:t>
      </w:r>
      <w:r>
        <w:rPr>
          <w:rFonts w:eastAsia="Calibri" w:cs="Arial"/>
          <w:color w:val="0D0D0D"/>
          <w:sz w:val="22"/>
          <w:szCs w:val="22"/>
        </w:rPr>
        <w:t xml:space="preserve">(for the US) </w:t>
      </w:r>
      <w:r w:rsidRPr="00FF1F89">
        <w:rPr>
          <w:rFonts w:eastAsia="Calibri" w:cs="Arial"/>
          <w:color w:val="0D0D0D"/>
          <w:sz w:val="22"/>
          <w:szCs w:val="22"/>
        </w:rPr>
        <w:t>reducing central banks’ holdings</w:t>
      </w:r>
      <w:r>
        <w:rPr>
          <w:rFonts w:eastAsia="Calibri" w:cs="Arial"/>
          <w:color w:val="0D0D0D"/>
          <w:sz w:val="22"/>
          <w:szCs w:val="22"/>
        </w:rPr>
        <w:t xml:space="preserve"> of government and other debt. </w:t>
      </w:r>
      <w:r w:rsidRPr="00FF1F89">
        <w:rPr>
          <w:rFonts w:eastAsia="Calibri" w:cs="Arial"/>
          <w:color w:val="0D0D0D"/>
          <w:sz w:val="22"/>
          <w:szCs w:val="22"/>
        </w:rPr>
        <w:t>These measures are now required in order to stop the trend of an on-going reduction in spare capacity in the economy, and of unemployment falling to such low levels that the re-emergence of inflat</w:t>
      </w:r>
      <w:r>
        <w:rPr>
          <w:rFonts w:eastAsia="Calibri" w:cs="Arial"/>
          <w:color w:val="0D0D0D"/>
          <w:sz w:val="22"/>
          <w:szCs w:val="22"/>
        </w:rPr>
        <w:t>ion is viewed as a major risk. </w:t>
      </w:r>
      <w:r w:rsidRPr="00FF1F89">
        <w:rPr>
          <w:rFonts w:eastAsia="Calibri" w:cs="Arial"/>
          <w:color w:val="0D0D0D"/>
          <w:sz w:val="22"/>
          <w:szCs w:val="22"/>
        </w:rPr>
        <w:t xml:space="preserve">It is, therefore, crucial that central banks get their timing right and do not cause shocks to market expectations that could </w:t>
      </w:r>
      <w:r>
        <w:rPr>
          <w:rFonts w:eastAsia="Calibri" w:cs="Arial"/>
          <w:color w:val="0D0D0D"/>
          <w:sz w:val="22"/>
          <w:szCs w:val="22"/>
        </w:rPr>
        <w:t>destabilise financial markets. </w:t>
      </w:r>
      <w:r w:rsidRPr="00FF1F89">
        <w:rPr>
          <w:rFonts w:eastAsia="Calibri" w:cs="Arial"/>
          <w:color w:val="0D0D0D"/>
          <w:sz w:val="22"/>
          <w:szCs w:val="22"/>
        </w:rPr>
        <w:t>In particular, a key risk is that because QE-driven purchases of bonds drove up the price of government debt, and therefore caused a sharp drop in income yields, this then also encouraged investors into a search for yield and into investing in r</w:t>
      </w:r>
      <w:r>
        <w:rPr>
          <w:rFonts w:eastAsia="Calibri" w:cs="Arial"/>
          <w:color w:val="0D0D0D"/>
          <w:sz w:val="22"/>
          <w:szCs w:val="22"/>
        </w:rPr>
        <w:t>iskier assets such as equities.</w:t>
      </w:r>
      <w:r w:rsidRPr="00FF1F89">
        <w:rPr>
          <w:rFonts w:eastAsia="Calibri" w:cs="Arial"/>
          <w:color w:val="0D0D0D"/>
          <w:sz w:val="22"/>
          <w:szCs w:val="22"/>
        </w:rPr>
        <w:t xml:space="preserve"> This resulted in bond markets and equity market prices both rising to historically high va</w:t>
      </w:r>
      <w:r>
        <w:rPr>
          <w:rFonts w:eastAsia="Calibri" w:cs="Arial"/>
          <w:color w:val="0D0D0D"/>
          <w:sz w:val="22"/>
          <w:szCs w:val="22"/>
        </w:rPr>
        <w:t>luation levels simultaneously. </w:t>
      </w:r>
      <w:r w:rsidRPr="00FF1F89">
        <w:rPr>
          <w:rFonts w:eastAsia="Calibri" w:cs="Arial"/>
          <w:color w:val="0D0D0D"/>
          <w:sz w:val="22"/>
          <w:szCs w:val="22"/>
        </w:rPr>
        <w:t>This, therefore, makes both asset categories vul</w:t>
      </w:r>
      <w:r>
        <w:rPr>
          <w:rFonts w:eastAsia="Calibri" w:cs="Arial"/>
          <w:color w:val="0D0D0D"/>
          <w:sz w:val="22"/>
          <w:szCs w:val="22"/>
        </w:rPr>
        <w:t>nerable to a sharp correction. </w:t>
      </w:r>
      <w:r w:rsidRPr="00FF1F89">
        <w:rPr>
          <w:rFonts w:eastAsia="Calibri" w:cs="Arial"/>
          <w:color w:val="0D0D0D"/>
          <w:sz w:val="22"/>
          <w:szCs w:val="22"/>
        </w:rPr>
        <w:t>It is important, therefore, that central banks only gradually unwind their holdings of bonds in order to prevent destab</w:t>
      </w:r>
      <w:r>
        <w:rPr>
          <w:rFonts w:eastAsia="Calibri" w:cs="Arial"/>
          <w:color w:val="0D0D0D"/>
          <w:sz w:val="22"/>
          <w:szCs w:val="22"/>
        </w:rPr>
        <w:t>ilising the financial markets. </w:t>
      </w:r>
      <w:r w:rsidRPr="00FF1F89">
        <w:rPr>
          <w:rFonts w:eastAsia="Calibri" w:cs="Arial"/>
          <w:color w:val="0D0D0D"/>
          <w:sz w:val="22"/>
          <w:szCs w:val="22"/>
        </w:rPr>
        <w:t xml:space="preserve">It is also likely that the timeframe for central banks unwinding their holdings of QE debt purchases will be over </w:t>
      </w:r>
      <w:r>
        <w:rPr>
          <w:rFonts w:eastAsia="Calibri" w:cs="Arial"/>
          <w:color w:val="0D0D0D"/>
          <w:sz w:val="22"/>
          <w:szCs w:val="22"/>
        </w:rPr>
        <w:t>several years</w:t>
      </w:r>
      <w:r w:rsidRPr="00FF1F89">
        <w:rPr>
          <w:rFonts w:eastAsia="Calibri" w:cs="Arial"/>
          <w:color w:val="0D0D0D"/>
          <w:sz w:val="22"/>
          <w:szCs w:val="22"/>
        </w:rPr>
        <w:t xml:space="preserve">. They need to balance their timing to neither squash economic recovery by taking too rapid and too strong action, or, </w:t>
      </w:r>
      <w:r w:rsidRPr="00FF1F89">
        <w:rPr>
          <w:rFonts w:eastAsia="Calibri" w:cs="Arial"/>
          <w:color w:val="0D0D0D"/>
          <w:sz w:val="22"/>
          <w:szCs w:val="22"/>
        </w:rPr>
        <w:lastRenderedPageBreak/>
        <w:t xml:space="preserve">alternatively, let inflation run away by taking action that was too slow and/or too weak. </w:t>
      </w:r>
      <w:r w:rsidRPr="00FF1F89">
        <w:rPr>
          <w:rFonts w:eastAsia="Calibri" w:cs="Arial"/>
          <w:b/>
          <w:bCs/>
          <w:color w:val="0D0D0D"/>
          <w:sz w:val="22"/>
          <w:szCs w:val="22"/>
        </w:rPr>
        <w:t>The potential for central banks to get this timing and strength of action wrong are now key risks.</w:t>
      </w:r>
      <w:r w:rsidRPr="00FF1F89">
        <w:rPr>
          <w:rFonts w:eastAsia="Calibri" w:cs="Arial"/>
          <w:color w:val="0D0D0D"/>
          <w:sz w:val="22"/>
          <w:szCs w:val="22"/>
        </w:rPr>
        <w:t xml:space="preserve">  </w:t>
      </w:r>
    </w:p>
    <w:p w:rsidR="00C00737" w:rsidRPr="00FF1F89" w:rsidRDefault="00C00737" w:rsidP="00C00737">
      <w:pPr>
        <w:numPr>
          <w:ilvl w:val="12"/>
          <w:numId w:val="0"/>
        </w:numPr>
        <w:jc w:val="both"/>
        <w:rPr>
          <w:rFonts w:eastAsia="Calibri" w:cs="Arial"/>
          <w:color w:val="0D0D0D"/>
          <w:sz w:val="22"/>
          <w:szCs w:val="22"/>
        </w:rPr>
      </w:pPr>
    </w:p>
    <w:p w:rsidR="00C00737" w:rsidRPr="00FF1F89" w:rsidRDefault="00C00737" w:rsidP="00C00737">
      <w:pPr>
        <w:numPr>
          <w:ilvl w:val="12"/>
          <w:numId w:val="0"/>
        </w:numPr>
        <w:jc w:val="both"/>
        <w:rPr>
          <w:rFonts w:eastAsia="Calibri" w:cs="Arial"/>
          <w:color w:val="0D0D0D"/>
          <w:sz w:val="22"/>
          <w:szCs w:val="22"/>
        </w:rPr>
      </w:pPr>
      <w:r w:rsidRPr="00FF1F89">
        <w:rPr>
          <w:rFonts w:eastAsia="Calibri" w:cs="Arial"/>
          <w:color w:val="0D0D0D"/>
          <w:sz w:val="22"/>
          <w:szCs w:val="22"/>
        </w:rPr>
        <w:t xml:space="preserve">There is also a potential key question over whether economic growth has become too dependent on strong central bank stimulus and whether it will maintain its momentum against a backdrop of rising interest rates and the reversal of QE. In the UK, a key vulnerability is the </w:t>
      </w:r>
      <w:r w:rsidRPr="00FF1F89">
        <w:rPr>
          <w:rFonts w:eastAsia="Calibri" w:cs="Arial"/>
          <w:b/>
          <w:bCs/>
          <w:color w:val="0D0D0D"/>
          <w:sz w:val="22"/>
          <w:szCs w:val="22"/>
        </w:rPr>
        <w:t>low level of productivity growth</w:t>
      </w:r>
      <w:r w:rsidRPr="00FF1F89">
        <w:rPr>
          <w:rFonts w:eastAsia="Calibri" w:cs="Arial"/>
          <w:color w:val="0D0D0D"/>
          <w:sz w:val="22"/>
          <w:szCs w:val="22"/>
        </w:rPr>
        <w:t xml:space="preserve">, which may be the main driver for increases in wages; and </w:t>
      </w:r>
      <w:r w:rsidRPr="00FF1F89">
        <w:rPr>
          <w:rFonts w:eastAsia="Calibri" w:cs="Arial"/>
          <w:b/>
          <w:bCs/>
          <w:color w:val="0D0D0D"/>
          <w:sz w:val="22"/>
          <w:szCs w:val="22"/>
        </w:rPr>
        <w:t xml:space="preserve">decreasing consumer disposable income, </w:t>
      </w:r>
      <w:r w:rsidRPr="00FF1F89">
        <w:rPr>
          <w:rFonts w:eastAsia="Calibri" w:cs="Arial"/>
          <w:color w:val="0D0D0D"/>
          <w:sz w:val="22"/>
          <w:szCs w:val="22"/>
        </w:rPr>
        <w:t xml:space="preserve">which is important in the context of consumer expenditure primarily underpinning UK GDP growth.  </w:t>
      </w:r>
    </w:p>
    <w:p w:rsidR="00C00737" w:rsidRPr="00FF1F89" w:rsidRDefault="00C00737" w:rsidP="00C00737">
      <w:pPr>
        <w:numPr>
          <w:ilvl w:val="12"/>
          <w:numId w:val="0"/>
        </w:numPr>
        <w:jc w:val="both"/>
        <w:rPr>
          <w:rFonts w:eastAsia="Calibri" w:cs="Arial"/>
          <w:color w:val="0D0D0D"/>
          <w:sz w:val="22"/>
          <w:szCs w:val="22"/>
        </w:rPr>
      </w:pPr>
    </w:p>
    <w:p w:rsidR="00C00737" w:rsidRPr="00FF1F89" w:rsidRDefault="00C00737" w:rsidP="00C00737">
      <w:pPr>
        <w:numPr>
          <w:ilvl w:val="12"/>
          <w:numId w:val="0"/>
        </w:numPr>
        <w:jc w:val="both"/>
        <w:rPr>
          <w:rFonts w:eastAsia="Calibri" w:cs="Arial"/>
          <w:color w:val="0D0D0D"/>
          <w:sz w:val="22"/>
          <w:szCs w:val="22"/>
        </w:rPr>
      </w:pPr>
      <w:r w:rsidRPr="00FF1F89">
        <w:rPr>
          <w:rFonts w:eastAsia="Calibri" w:cs="Arial"/>
          <w:color w:val="0D0D0D"/>
          <w:sz w:val="22"/>
          <w:szCs w:val="22"/>
        </w:rPr>
        <w:t xml:space="preserve">A further question that has come to the fore is whether </w:t>
      </w:r>
      <w:r w:rsidRPr="00FF1F89">
        <w:rPr>
          <w:rFonts w:eastAsia="Calibri" w:cs="Arial"/>
          <w:b/>
          <w:bCs/>
          <w:color w:val="0D0D0D"/>
          <w:sz w:val="22"/>
          <w:szCs w:val="22"/>
        </w:rPr>
        <w:t>an inflation target for central banks of 2%</w:t>
      </w:r>
      <w:r w:rsidRPr="00FF1F89">
        <w:rPr>
          <w:rFonts w:eastAsia="Calibri" w:cs="Arial"/>
          <w:color w:val="0D0D0D"/>
          <w:sz w:val="22"/>
          <w:szCs w:val="22"/>
        </w:rPr>
        <w:t xml:space="preserve">, is now realistic given the shift down in inflation pressures from internally generated inflation, (i.e. wage inflation feeding through into the national economy), given the above mentioned shift down in the Phillips curve. </w:t>
      </w:r>
    </w:p>
    <w:p w:rsidR="00C00737" w:rsidRPr="00FF1F89" w:rsidRDefault="00C00737" w:rsidP="00C00737">
      <w:pPr>
        <w:numPr>
          <w:ilvl w:val="0"/>
          <w:numId w:val="48"/>
        </w:numPr>
        <w:jc w:val="both"/>
        <w:rPr>
          <w:rFonts w:eastAsia="Calibri" w:cs="Arial"/>
          <w:color w:val="0D0D0D"/>
          <w:sz w:val="22"/>
          <w:szCs w:val="22"/>
        </w:rPr>
      </w:pPr>
      <w:r w:rsidRPr="00FF1F89">
        <w:rPr>
          <w:rFonts w:eastAsia="Calibri" w:cs="Arial"/>
          <w:color w:val="0D0D0D"/>
          <w:sz w:val="22"/>
          <w:szCs w:val="22"/>
        </w:rPr>
        <w:t xml:space="preserve">Some economists favour a shift to a </w:t>
      </w:r>
      <w:r w:rsidRPr="00FF1F89">
        <w:rPr>
          <w:rFonts w:eastAsia="Calibri" w:cs="Arial"/>
          <w:b/>
          <w:bCs/>
          <w:color w:val="0D0D0D"/>
          <w:sz w:val="22"/>
          <w:szCs w:val="22"/>
        </w:rPr>
        <w:t>lower inflation target of 1%</w:t>
      </w:r>
      <w:r w:rsidRPr="00FF1F89">
        <w:rPr>
          <w:rFonts w:eastAsia="Calibri" w:cs="Arial"/>
          <w:color w:val="0D0D0D"/>
          <w:sz w:val="22"/>
          <w:szCs w:val="22"/>
        </w:rPr>
        <w:t xml:space="preserve"> to emphasise the need to keep the lid on inflation.  Alternatively, it is possible that a central bank could simply ‘look through’ tepid wage inflation, (i.e. ignore the overall 2% inflation target), in order to take action in raising rates sooner than might otherwise be expected.  </w:t>
      </w:r>
    </w:p>
    <w:p w:rsidR="00C00737" w:rsidRPr="00FF1F89" w:rsidRDefault="00C00737" w:rsidP="00C00737">
      <w:pPr>
        <w:numPr>
          <w:ilvl w:val="0"/>
          <w:numId w:val="48"/>
        </w:numPr>
        <w:jc w:val="both"/>
        <w:rPr>
          <w:rFonts w:eastAsia="Calibri" w:cs="Arial"/>
          <w:color w:val="0D0D0D"/>
          <w:sz w:val="22"/>
          <w:szCs w:val="22"/>
        </w:rPr>
      </w:pPr>
      <w:r w:rsidRPr="00FF1F89">
        <w:rPr>
          <w:rFonts w:eastAsia="Calibri" w:cs="Arial"/>
          <w:color w:val="0D0D0D"/>
          <w:sz w:val="22"/>
          <w:szCs w:val="22"/>
        </w:rPr>
        <w:t xml:space="preserve">However, other economists would argue for a </w:t>
      </w:r>
      <w:r w:rsidRPr="00FF1F89">
        <w:rPr>
          <w:rFonts w:eastAsia="Calibri" w:cs="Arial"/>
          <w:b/>
          <w:bCs/>
          <w:color w:val="0D0D0D"/>
          <w:sz w:val="22"/>
          <w:szCs w:val="22"/>
        </w:rPr>
        <w:t xml:space="preserve">shift </w:t>
      </w:r>
      <w:r w:rsidRPr="00FF1F89">
        <w:rPr>
          <w:rFonts w:eastAsia="Calibri" w:cs="Arial"/>
          <w:b/>
          <w:bCs/>
          <w:i/>
          <w:iCs/>
          <w:color w:val="0D0D0D"/>
          <w:sz w:val="22"/>
          <w:szCs w:val="22"/>
        </w:rPr>
        <w:t>UP</w:t>
      </w:r>
      <w:r w:rsidRPr="00FF1F89">
        <w:rPr>
          <w:rFonts w:eastAsia="Calibri" w:cs="Arial"/>
          <w:b/>
          <w:bCs/>
          <w:color w:val="0D0D0D"/>
          <w:sz w:val="22"/>
          <w:szCs w:val="22"/>
        </w:rPr>
        <w:t xml:space="preserve"> in the inflation target to 3%</w:t>
      </w:r>
      <w:r w:rsidRPr="00FF1F89">
        <w:rPr>
          <w:rFonts w:eastAsia="Calibri" w:cs="Arial"/>
          <w:color w:val="0D0D0D"/>
          <w:sz w:val="22"/>
          <w:szCs w:val="22"/>
        </w:rPr>
        <w:t xml:space="preserve"> in order to ensure that central banks place the emphasis on maintaining economic growth through adopting a slower pace of withdrawal of stimulus. </w:t>
      </w:r>
    </w:p>
    <w:p w:rsidR="00C00737" w:rsidRPr="00FF1F89" w:rsidRDefault="00C00737" w:rsidP="00C00737">
      <w:pPr>
        <w:numPr>
          <w:ilvl w:val="0"/>
          <w:numId w:val="48"/>
        </w:numPr>
        <w:jc w:val="both"/>
        <w:rPr>
          <w:rFonts w:eastAsia="Calibri" w:cs="Arial"/>
          <w:color w:val="0D0D0D"/>
          <w:sz w:val="22"/>
          <w:szCs w:val="22"/>
        </w:rPr>
      </w:pPr>
      <w:r w:rsidRPr="00FF1F89">
        <w:rPr>
          <w:rFonts w:eastAsia="Calibri" w:cs="Arial"/>
          <w:color w:val="0D0D0D"/>
          <w:sz w:val="22"/>
          <w:szCs w:val="22"/>
        </w:rPr>
        <w:t xml:space="preserve">In addition, there is a strong argument that central banks should </w:t>
      </w:r>
      <w:r w:rsidRPr="00FF1F89">
        <w:rPr>
          <w:rFonts w:eastAsia="Calibri" w:cs="Arial"/>
          <w:b/>
          <w:bCs/>
          <w:color w:val="0D0D0D"/>
          <w:sz w:val="22"/>
          <w:szCs w:val="22"/>
        </w:rPr>
        <w:t>target financial market stability</w:t>
      </w:r>
      <w:r w:rsidRPr="00FF1F89">
        <w:rPr>
          <w:rFonts w:eastAsia="Calibri" w:cs="Arial"/>
          <w:color w:val="0D0D0D"/>
          <w:sz w:val="22"/>
          <w:szCs w:val="22"/>
        </w:rPr>
        <w:t>. As mentioned previously, bond markets and equity markets could be vulnerable to a sharp correction. There has been much commentary, that since 2008, QE has caused massive distortions, imbalances and bubbles in asset prices, both financial and non-financial. Consequently, there are widespread concerns at the potential for such bubbles to be burst by exuberant central bank action. On the other hand, too slow or weak action would allow these imbalances and distortions to continue or to even inflate them further.</w:t>
      </w:r>
    </w:p>
    <w:p w:rsidR="00C00737" w:rsidRPr="00FF1F89" w:rsidRDefault="00C00737" w:rsidP="00C00737">
      <w:pPr>
        <w:numPr>
          <w:ilvl w:val="0"/>
          <w:numId w:val="48"/>
        </w:numPr>
        <w:jc w:val="both"/>
        <w:rPr>
          <w:rFonts w:eastAsia="Calibri" w:cs="Arial"/>
          <w:color w:val="0D0D0D"/>
          <w:sz w:val="22"/>
          <w:szCs w:val="22"/>
        </w:rPr>
      </w:pPr>
      <w:r w:rsidRPr="00FF1F89">
        <w:rPr>
          <w:rFonts w:eastAsia="Calibri" w:cs="Arial"/>
          <w:color w:val="0D0D0D"/>
          <w:sz w:val="22"/>
          <w:szCs w:val="22"/>
        </w:rPr>
        <w:t xml:space="preserve">Consumer debt levels are also at historically high levels due to the prolonged period of low cost of borrowing since the financial crash. In turn, this cheap borrowing has meant that </w:t>
      </w:r>
      <w:r w:rsidRPr="00FF1F89">
        <w:rPr>
          <w:rFonts w:eastAsia="Calibri" w:cs="Arial"/>
          <w:b/>
          <w:bCs/>
          <w:color w:val="0D0D0D"/>
          <w:sz w:val="22"/>
          <w:szCs w:val="22"/>
        </w:rPr>
        <w:t>other non-financial asset prices</w:t>
      </w:r>
      <w:r w:rsidRPr="00FF1F89">
        <w:rPr>
          <w:rFonts w:eastAsia="Calibri" w:cs="Arial"/>
          <w:color w:val="0D0D0D"/>
          <w:sz w:val="22"/>
          <w:szCs w:val="22"/>
        </w:rPr>
        <w:t xml:space="preserve">, particularly house prices, have been driven up to very high levels, especially compared to income levels. Any sharp downturn in the availability of credit, or increase in the cost of credit, could potentially destabilise the housing market and generate a sharp downturn in house prices.  This could then have a destabilising effect on consumer confidence, consumer expenditure and GDP growth. However, no central bank would accept that it ought to have responsibility for specifically targeting house prices. </w:t>
      </w:r>
    </w:p>
    <w:p w:rsidR="00C00737" w:rsidRPr="00FF1F89" w:rsidRDefault="00C00737" w:rsidP="00C00737">
      <w:pPr>
        <w:jc w:val="both"/>
        <w:rPr>
          <w:rFonts w:eastAsia="Calibri" w:cs="Arial"/>
          <w:color w:val="0D0D0D"/>
          <w:sz w:val="22"/>
          <w:szCs w:val="22"/>
        </w:rPr>
      </w:pPr>
    </w:p>
    <w:p w:rsidR="00C00737" w:rsidRPr="00FF1F89" w:rsidRDefault="00C00737" w:rsidP="00C00737">
      <w:pPr>
        <w:numPr>
          <w:ilvl w:val="12"/>
          <w:numId w:val="0"/>
        </w:numPr>
        <w:jc w:val="both"/>
        <w:rPr>
          <w:rFonts w:eastAsia="Calibri" w:cs="Arial"/>
          <w:color w:val="0D0D0D"/>
          <w:sz w:val="22"/>
          <w:szCs w:val="22"/>
        </w:rPr>
      </w:pPr>
      <w:r w:rsidRPr="00FF1F89">
        <w:rPr>
          <w:rFonts w:eastAsia="Calibri" w:cs="Arial"/>
          <w:b/>
          <w:bCs/>
          <w:color w:val="0D0D0D"/>
          <w:sz w:val="22"/>
          <w:szCs w:val="22"/>
        </w:rPr>
        <w:t>UK.</w:t>
      </w:r>
      <w:r w:rsidRPr="00FF1F89">
        <w:rPr>
          <w:rFonts w:eastAsia="Calibri" w:cs="Arial"/>
          <w:color w:val="0D0D0D"/>
          <w:sz w:val="22"/>
          <w:szCs w:val="22"/>
        </w:rPr>
        <w:t xml:space="preserve">  After the UK surprised on the upside with strong economic growth in 2016, </w:t>
      </w:r>
      <w:r w:rsidRPr="00FF1F89">
        <w:rPr>
          <w:rFonts w:eastAsia="Calibri" w:cs="Arial"/>
          <w:b/>
          <w:bCs/>
          <w:color w:val="0D0D0D"/>
          <w:sz w:val="22"/>
          <w:szCs w:val="22"/>
        </w:rPr>
        <w:t>growth in 2017 has been disappointingly weak</w:t>
      </w:r>
      <w:r w:rsidRPr="00FF1F89">
        <w:rPr>
          <w:rFonts w:eastAsia="Calibri" w:cs="Arial"/>
          <w:color w:val="0D0D0D"/>
          <w:sz w:val="22"/>
          <w:szCs w:val="22"/>
        </w:rPr>
        <w:t xml:space="preserve">; </w:t>
      </w:r>
      <w:r w:rsidRPr="00FE06B7">
        <w:rPr>
          <w:rFonts w:eastAsia="Calibri" w:cs="Arial"/>
          <w:color w:val="0D0D0D"/>
          <w:sz w:val="22"/>
          <w:szCs w:val="22"/>
          <w:lang w:val="en-AU"/>
        </w:rPr>
        <w:t xml:space="preserve">quarter 1 came in at only +0.3% (+1.8% y/y),  quarter 2 was +0.3% (+1.5% y/y) and quarter 3 was +0.4% (+1.5% y/y).  </w:t>
      </w:r>
      <w:r w:rsidRPr="00FF1F89">
        <w:rPr>
          <w:rFonts w:eastAsia="Calibri" w:cs="Arial"/>
          <w:color w:val="0D0D0D"/>
          <w:sz w:val="22"/>
          <w:szCs w:val="22"/>
        </w:rPr>
        <w:t xml:space="preserve">The main reason for this has been the sharp increase in inflation, caused by the devaluation of sterling after the EU referendum, feeding increases in the cost of imports into the economy.  This has caused, in turn, a reduction in consumer disposable income and spending power and so the services sector of the economy, accounting for around 80% of GDP, has seen weak growth as consumers cut back on their expenditure. However, more recently there have been encouraging statistics from the </w:t>
      </w:r>
      <w:r w:rsidRPr="00FF1F89">
        <w:rPr>
          <w:rFonts w:eastAsia="Calibri" w:cs="Arial"/>
          <w:b/>
          <w:bCs/>
          <w:color w:val="0D0D0D"/>
          <w:sz w:val="22"/>
          <w:szCs w:val="22"/>
        </w:rPr>
        <w:t>manufacturing sector</w:t>
      </w:r>
      <w:r w:rsidRPr="00FF1F89">
        <w:rPr>
          <w:rFonts w:eastAsia="Calibri" w:cs="Arial"/>
          <w:color w:val="0D0D0D"/>
          <w:sz w:val="22"/>
          <w:szCs w:val="22"/>
        </w:rPr>
        <w:t xml:space="preserve"> which is seeing strong growth, particularly as a result of increased demand for exports. It has helped that growth in the EU, our main trading partner, has improved significantly over the last year while robust world </w:t>
      </w:r>
      <w:r w:rsidRPr="00FF1F89">
        <w:rPr>
          <w:rFonts w:eastAsia="Calibri" w:cs="Arial"/>
          <w:color w:val="0D0D0D"/>
          <w:sz w:val="22"/>
          <w:szCs w:val="22"/>
        </w:rPr>
        <w:lastRenderedPageBreak/>
        <w:t>growth has also been supportive.  However, this sector only accounts for around 10% of GDP so expansion in this sector will have a much more muted effect on the overall GDP growth figure for the UK economy as a whole.</w:t>
      </w:r>
    </w:p>
    <w:p w:rsidR="00C00737" w:rsidRPr="00FF1F89" w:rsidRDefault="00C00737" w:rsidP="00C00737">
      <w:pPr>
        <w:numPr>
          <w:ilvl w:val="12"/>
          <w:numId w:val="0"/>
        </w:numPr>
        <w:jc w:val="both"/>
        <w:rPr>
          <w:rFonts w:eastAsia="Calibri" w:cs="Arial"/>
          <w:color w:val="0D0D0D"/>
          <w:sz w:val="22"/>
          <w:szCs w:val="22"/>
        </w:rPr>
      </w:pPr>
    </w:p>
    <w:p w:rsidR="00C00737" w:rsidRPr="00FF1F89" w:rsidRDefault="00C00737" w:rsidP="00C00737">
      <w:pPr>
        <w:numPr>
          <w:ilvl w:val="12"/>
          <w:numId w:val="0"/>
        </w:numPr>
        <w:jc w:val="both"/>
        <w:rPr>
          <w:rFonts w:eastAsia="Calibri" w:cs="Arial"/>
          <w:color w:val="0D0D0D"/>
          <w:sz w:val="22"/>
          <w:szCs w:val="22"/>
        </w:rPr>
      </w:pPr>
      <w:r w:rsidRPr="00FF1F89">
        <w:rPr>
          <w:rFonts w:eastAsia="Calibri" w:cs="Arial"/>
          <w:color w:val="0D0D0D"/>
          <w:sz w:val="22"/>
          <w:szCs w:val="22"/>
        </w:rPr>
        <w:t xml:space="preserve">While the Bank of England is expected to give forward guidance to prepare financial markets for gradual changes in policy, the </w:t>
      </w:r>
      <w:r w:rsidRPr="00FF1F89">
        <w:rPr>
          <w:rFonts w:eastAsia="Calibri" w:cs="Arial"/>
          <w:b/>
          <w:bCs/>
          <w:color w:val="0D0D0D"/>
          <w:sz w:val="22"/>
          <w:szCs w:val="22"/>
        </w:rPr>
        <w:t xml:space="preserve">Monetary Policy Committee, (MPC), meeting of 14 September 2017 </w:t>
      </w:r>
      <w:r w:rsidRPr="00FF1F89">
        <w:rPr>
          <w:rFonts w:eastAsia="Calibri" w:cs="Arial"/>
          <w:color w:val="0D0D0D"/>
          <w:sz w:val="22"/>
          <w:szCs w:val="22"/>
        </w:rPr>
        <w:t>managed to shock financial markets and forecasters by suddenly switching to a much more aggressive tone in terms of its words around warning that Bank Rate will need to rise soon. The Bank of England Inflation Reports during 2017 have clearly flagged up that it expected CPI inflation to peak at just under 3% in 2017, before falling back to near to its target rate of 2% in two years’ time. The Bank revised its forecast for the peak to just over 3% at the 14 September meeting</w:t>
      </w:r>
      <w:r>
        <w:rPr>
          <w:rFonts w:eastAsia="Calibri" w:cs="Arial"/>
          <w:color w:val="0D0D0D"/>
          <w:sz w:val="22"/>
          <w:szCs w:val="22"/>
        </w:rPr>
        <w:t>.</w:t>
      </w:r>
      <w:r w:rsidRPr="00FF1F89">
        <w:rPr>
          <w:rFonts w:eastAsia="Calibri" w:cs="Arial"/>
          <w:color w:val="0D0D0D"/>
          <w:sz w:val="22"/>
          <w:szCs w:val="22"/>
        </w:rPr>
        <w:t xml:space="preserve"> </w:t>
      </w:r>
      <w:r w:rsidRPr="00C815F4">
        <w:rPr>
          <w:rFonts w:eastAsia="Calibri" w:cs="Arial"/>
          <w:color w:val="0D0D0D"/>
          <w:sz w:val="22"/>
          <w:szCs w:val="22"/>
          <w:lang w:val="en-AU"/>
        </w:rPr>
        <w:t>(Inflation actually came in at 3.</w:t>
      </w:r>
      <w:r>
        <w:rPr>
          <w:rFonts w:eastAsia="Calibri" w:cs="Arial"/>
          <w:color w:val="0D0D0D"/>
          <w:sz w:val="22"/>
          <w:szCs w:val="22"/>
          <w:lang w:val="en-AU"/>
        </w:rPr>
        <w:t>1</w:t>
      </w:r>
      <w:r w:rsidRPr="00C815F4">
        <w:rPr>
          <w:rFonts w:eastAsia="Calibri" w:cs="Arial"/>
          <w:color w:val="0D0D0D"/>
          <w:sz w:val="22"/>
          <w:szCs w:val="22"/>
          <w:lang w:val="en-AU"/>
        </w:rPr>
        <w:t xml:space="preserve">% in </w:t>
      </w:r>
      <w:r>
        <w:rPr>
          <w:rFonts w:eastAsia="Calibri" w:cs="Arial"/>
          <w:color w:val="0D0D0D"/>
          <w:sz w:val="22"/>
          <w:szCs w:val="22"/>
          <w:lang w:val="en-AU"/>
        </w:rPr>
        <w:t>November</w:t>
      </w:r>
      <w:r w:rsidRPr="00C815F4">
        <w:rPr>
          <w:rFonts w:eastAsia="Calibri" w:cs="Arial"/>
          <w:color w:val="0D0D0D"/>
          <w:sz w:val="22"/>
          <w:szCs w:val="22"/>
          <w:lang w:val="en-AU"/>
        </w:rPr>
        <w:t xml:space="preserve"> so that m</w:t>
      </w:r>
      <w:r>
        <w:rPr>
          <w:rFonts w:eastAsia="Calibri" w:cs="Arial"/>
          <w:color w:val="0D0D0D"/>
          <w:sz w:val="22"/>
          <w:szCs w:val="22"/>
          <w:lang w:val="en-AU"/>
        </w:rPr>
        <w:t>ay</w:t>
      </w:r>
      <w:r w:rsidRPr="00C815F4">
        <w:rPr>
          <w:rFonts w:eastAsia="Calibri" w:cs="Arial"/>
          <w:color w:val="0D0D0D"/>
          <w:sz w:val="22"/>
          <w:szCs w:val="22"/>
          <w:lang w:val="en-AU"/>
        </w:rPr>
        <w:t xml:space="preserve"> prove now to be the peak.</w:t>
      </w:r>
      <w:r>
        <w:rPr>
          <w:rFonts w:eastAsia="Calibri" w:cs="Arial"/>
          <w:color w:val="0D0D0D"/>
          <w:sz w:val="22"/>
          <w:szCs w:val="22"/>
          <w:lang w:val="en-AU"/>
        </w:rPr>
        <w:t xml:space="preserve">)  </w:t>
      </w:r>
      <w:r w:rsidRPr="00FF1F89">
        <w:rPr>
          <w:rFonts w:eastAsia="Calibri" w:cs="Arial"/>
          <w:color w:val="0D0D0D"/>
          <w:sz w:val="22"/>
          <w:szCs w:val="22"/>
        </w:rPr>
        <w:t xml:space="preserve">This marginal revision in the Bank’s forecast can hardly justify why the MPC became so aggressive with its wording; rather, the focus was on an emerging view that with unemployment having already fallen to only 4.3%, the lowest level since 1975, and improvements in productivity being so weak, that </w:t>
      </w:r>
      <w:r w:rsidRPr="00FF1F89">
        <w:rPr>
          <w:rFonts w:eastAsia="Calibri" w:cs="Arial"/>
          <w:b/>
          <w:bCs/>
          <w:color w:val="0D0D0D"/>
          <w:sz w:val="22"/>
          <w:szCs w:val="22"/>
        </w:rPr>
        <w:t>the amount of spare capacity in the economy was significantly diminishing</w:t>
      </w:r>
      <w:r w:rsidRPr="00FF1F89">
        <w:rPr>
          <w:rFonts w:eastAsia="Calibri" w:cs="Arial"/>
          <w:color w:val="0D0D0D"/>
          <w:sz w:val="22"/>
          <w:szCs w:val="22"/>
        </w:rPr>
        <w:t xml:space="preserve"> towards a point at which they now needed to take action.  In addition, the MPC took a more tolerant view of low wage inflation as this now looks like a common factor in nearly all western economies as a result of automation and globalisation. However, the Bank was also concerned that the withdrawal of the UK from the EU would effectively lead to a </w:t>
      </w:r>
      <w:r w:rsidRPr="00FF1F89">
        <w:rPr>
          <w:rFonts w:eastAsia="Calibri" w:cs="Arial"/>
          <w:i/>
          <w:iCs/>
          <w:color w:val="0D0D0D"/>
          <w:sz w:val="22"/>
          <w:szCs w:val="22"/>
        </w:rPr>
        <w:t>decrease</w:t>
      </w:r>
      <w:r w:rsidRPr="00FF1F89">
        <w:rPr>
          <w:rFonts w:eastAsia="Calibri" w:cs="Arial"/>
          <w:color w:val="0D0D0D"/>
          <w:sz w:val="22"/>
          <w:szCs w:val="22"/>
        </w:rPr>
        <w:t xml:space="preserve"> in such globalisation pressures in the UK, and so this would cause additional inflationary pressure over the next few years.</w:t>
      </w:r>
    </w:p>
    <w:p w:rsidR="00C00737" w:rsidRPr="00FF1F89" w:rsidRDefault="00C00737" w:rsidP="00C00737">
      <w:pPr>
        <w:numPr>
          <w:ilvl w:val="12"/>
          <w:numId w:val="0"/>
        </w:numPr>
        <w:jc w:val="both"/>
        <w:rPr>
          <w:rFonts w:eastAsia="Calibri" w:cs="Arial"/>
          <w:color w:val="0D0D0D"/>
          <w:sz w:val="22"/>
          <w:szCs w:val="22"/>
        </w:rPr>
      </w:pPr>
    </w:p>
    <w:p w:rsidR="00C00737" w:rsidRPr="00F872F8" w:rsidRDefault="00C00737" w:rsidP="00C00737">
      <w:pPr>
        <w:numPr>
          <w:ilvl w:val="12"/>
          <w:numId w:val="0"/>
        </w:numPr>
        <w:jc w:val="both"/>
        <w:rPr>
          <w:rFonts w:eastAsia="Calibri" w:cs="Arial"/>
          <w:color w:val="0D0D0D"/>
          <w:sz w:val="22"/>
          <w:szCs w:val="22"/>
        </w:rPr>
      </w:pPr>
      <w:r>
        <w:rPr>
          <w:rFonts w:eastAsia="Calibri" w:cs="Arial"/>
          <w:color w:val="0D0D0D"/>
          <w:sz w:val="22"/>
          <w:szCs w:val="22"/>
        </w:rPr>
        <w:t>At Its 2 November meeting, the MPC duly delivered a 0.25% increase in Bank Rate. It</w:t>
      </w:r>
      <w:r w:rsidRPr="00F872F8">
        <w:rPr>
          <w:rFonts w:eastAsia="Calibri" w:cs="Arial"/>
          <w:color w:val="0D0D0D"/>
          <w:sz w:val="22"/>
          <w:szCs w:val="22"/>
        </w:rPr>
        <w:t xml:space="preserve"> also gave forward guidance that they expected to increase Bank Rate only twice more in the next </w:t>
      </w:r>
      <w:r>
        <w:rPr>
          <w:rFonts w:eastAsia="Calibri" w:cs="Arial"/>
          <w:color w:val="0D0D0D"/>
          <w:sz w:val="22"/>
          <w:szCs w:val="22"/>
        </w:rPr>
        <w:t>three</w:t>
      </w:r>
      <w:r w:rsidRPr="00F872F8">
        <w:rPr>
          <w:rFonts w:eastAsia="Calibri" w:cs="Arial"/>
          <w:color w:val="0D0D0D"/>
          <w:sz w:val="22"/>
          <w:szCs w:val="22"/>
        </w:rPr>
        <w:t xml:space="preserve"> years to reach 1.0% by 2020.  This is, therefore, not quite the ‘one and done’ scenario but is, nevertheless, a very relaxed rate of increase prediction in Bank Rate in line with previous statements that Bank Rate would only go up very gradually and to a limited extent.</w:t>
      </w:r>
    </w:p>
    <w:p w:rsidR="00C00737" w:rsidRDefault="00C00737" w:rsidP="00C00737">
      <w:pPr>
        <w:numPr>
          <w:ilvl w:val="12"/>
          <w:numId w:val="0"/>
        </w:numPr>
        <w:jc w:val="both"/>
        <w:rPr>
          <w:rFonts w:eastAsia="Calibri" w:cs="Arial"/>
          <w:color w:val="0D0D0D"/>
          <w:sz w:val="22"/>
          <w:szCs w:val="22"/>
        </w:rPr>
      </w:pPr>
    </w:p>
    <w:p w:rsidR="00C00737" w:rsidRPr="00FF1F89" w:rsidRDefault="00C00737" w:rsidP="00C00737">
      <w:pPr>
        <w:numPr>
          <w:ilvl w:val="12"/>
          <w:numId w:val="0"/>
        </w:numPr>
        <w:jc w:val="both"/>
        <w:rPr>
          <w:rFonts w:eastAsia="Calibri" w:cs="Arial"/>
          <w:color w:val="0D0D0D"/>
          <w:sz w:val="22"/>
          <w:szCs w:val="22"/>
        </w:rPr>
      </w:pPr>
      <w:r w:rsidRPr="00FF1F89">
        <w:rPr>
          <w:rFonts w:eastAsia="Calibri" w:cs="Arial"/>
          <w:color w:val="0D0D0D"/>
          <w:sz w:val="22"/>
          <w:szCs w:val="22"/>
        </w:rPr>
        <w:t xml:space="preserve">However, some forecasters are flagging up that they expect growth to accelerate significantly towards the end of 2017 and then into 2018. This view is based primarily on the coming fall in inflation, (as the effect of the effective devaluation of sterling after the EU referendum drops out of the CPI statistics), which will bring to an end the negative impact on consumer spending power.  In addition, a strong export performance will compensate for weak services sector growth.  If this scenario was indeed to materialise, then the MPC would </w:t>
      </w:r>
      <w:r>
        <w:rPr>
          <w:rFonts w:eastAsia="Calibri" w:cs="Arial"/>
          <w:color w:val="0D0D0D"/>
          <w:sz w:val="22"/>
          <w:szCs w:val="22"/>
        </w:rPr>
        <w:t xml:space="preserve">be likely to accelerate its pace of increases in </w:t>
      </w:r>
      <w:r w:rsidRPr="00FF1F89">
        <w:rPr>
          <w:rFonts w:eastAsia="Calibri" w:cs="Arial"/>
          <w:color w:val="0D0D0D"/>
          <w:sz w:val="22"/>
          <w:szCs w:val="22"/>
        </w:rPr>
        <w:t xml:space="preserve">Bank Rate during 2018 and onwards. </w:t>
      </w:r>
    </w:p>
    <w:p w:rsidR="00C00737" w:rsidRPr="00FF1F89" w:rsidRDefault="00C00737" w:rsidP="00C00737">
      <w:pPr>
        <w:numPr>
          <w:ilvl w:val="12"/>
          <w:numId w:val="0"/>
        </w:numPr>
        <w:jc w:val="both"/>
        <w:rPr>
          <w:rFonts w:eastAsia="Calibri" w:cs="Arial"/>
          <w:color w:val="0D0D0D"/>
          <w:sz w:val="22"/>
          <w:szCs w:val="22"/>
        </w:rPr>
      </w:pPr>
    </w:p>
    <w:p w:rsidR="00C00737" w:rsidRPr="00FF1F89" w:rsidRDefault="00C00737" w:rsidP="00C00737">
      <w:pPr>
        <w:numPr>
          <w:ilvl w:val="12"/>
          <w:numId w:val="0"/>
        </w:numPr>
        <w:jc w:val="both"/>
        <w:rPr>
          <w:rFonts w:eastAsia="Calibri" w:cs="Arial"/>
          <w:color w:val="0D0D0D"/>
          <w:sz w:val="22"/>
          <w:szCs w:val="22"/>
        </w:rPr>
      </w:pPr>
      <w:r w:rsidRPr="00FF1F89">
        <w:rPr>
          <w:rFonts w:eastAsia="Calibri" w:cs="Arial"/>
          <w:color w:val="0D0D0D"/>
          <w:sz w:val="22"/>
          <w:szCs w:val="22"/>
        </w:rPr>
        <w:t xml:space="preserve">It is also worth noting the </w:t>
      </w:r>
      <w:r w:rsidRPr="00FF1F89">
        <w:rPr>
          <w:rFonts w:eastAsia="Calibri" w:cs="Arial"/>
          <w:b/>
          <w:bCs/>
          <w:color w:val="0D0D0D"/>
          <w:sz w:val="22"/>
          <w:szCs w:val="22"/>
        </w:rPr>
        <w:t>contradiction within the Bank of England</w:t>
      </w:r>
      <w:r w:rsidRPr="00FF1F89">
        <w:rPr>
          <w:rFonts w:eastAsia="Calibri" w:cs="Arial"/>
          <w:color w:val="0D0D0D"/>
          <w:sz w:val="22"/>
          <w:szCs w:val="22"/>
        </w:rPr>
        <w:t xml:space="preserve"> between action in 2016 and in 2017 </w:t>
      </w:r>
      <w:r w:rsidRPr="00FF1F89">
        <w:rPr>
          <w:rFonts w:eastAsia="Calibri" w:cs="Arial"/>
          <w:b/>
          <w:bCs/>
          <w:color w:val="0D0D0D"/>
          <w:sz w:val="22"/>
          <w:szCs w:val="22"/>
        </w:rPr>
        <w:t>by two of its committees</w:t>
      </w:r>
      <w:r>
        <w:rPr>
          <w:rFonts w:eastAsia="Calibri" w:cs="Arial"/>
          <w:color w:val="0D0D0D"/>
          <w:sz w:val="22"/>
          <w:szCs w:val="22"/>
        </w:rPr>
        <w:t>. </w:t>
      </w:r>
      <w:r w:rsidRPr="00FF1F89">
        <w:rPr>
          <w:rFonts w:eastAsia="Calibri" w:cs="Arial"/>
          <w:color w:val="0D0D0D"/>
          <w:sz w:val="22"/>
          <w:szCs w:val="22"/>
        </w:rPr>
        <w:t>After the shock result of the EU referendum, the</w:t>
      </w:r>
      <w:r w:rsidRPr="00FF1F89">
        <w:rPr>
          <w:rFonts w:eastAsia="Calibri" w:cs="Arial"/>
          <w:b/>
          <w:bCs/>
          <w:color w:val="0D0D0D"/>
          <w:sz w:val="22"/>
          <w:szCs w:val="22"/>
        </w:rPr>
        <w:t xml:space="preserve"> Monetary Policy Committee (MPC)</w:t>
      </w:r>
      <w:r w:rsidRPr="00FF1F89">
        <w:rPr>
          <w:rFonts w:eastAsia="Calibri" w:cs="Arial"/>
          <w:color w:val="0D0D0D"/>
          <w:sz w:val="22"/>
          <w:szCs w:val="22"/>
        </w:rPr>
        <w:t xml:space="preserve"> voted in August 2016 for emergency action to cut Bank Rate from 0.50% to 0.25%, restarting £70bn of QE purchases, and also providing UK banks with £100bn of cheap financing. The aim of this was to lower borrowing costs, stimulate demand for borrowing and thereby increase expenditure and demand in the economy. The MPC felt this was necessary in order to ward off their expectation that there would be a sharp slowdown in economic growth.  Instead, the economy grew robustly, although the Governor of the Bank of England strongly maintained that this was </w:t>
      </w:r>
      <w:r w:rsidRPr="00FF1F89">
        <w:rPr>
          <w:rFonts w:eastAsia="Calibri" w:cs="Arial"/>
          <w:i/>
          <w:iCs/>
          <w:color w:val="0D0D0D"/>
          <w:sz w:val="22"/>
          <w:szCs w:val="22"/>
        </w:rPr>
        <w:t>because</w:t>
      </w:r>
      <w:r>
        <w:rPr>
          <w:rFonts w:eastAsia="Calibri" w:cs="Arial"/>
          <w:color w:val="0D0D0D"/>
          <w:sz w:val="22"/>
          <w:szCs w:val="22"/>
        </w:rPr>
        <w:t xml:space="preserve"> the MPC took that action. </w:t>
      </w:r>
      <w:r w:rsidRPr="00FF1F89">
        <w:rPr>
          <w:rFonts w:eastAsia="Calibri" w:cs="Arial"/>
          <w:color w:val="0D0D0D"/>
          <w:sz w:val="22"/>
          <w:szCs w:val="22"/>
        </w:rPr>
        <w:t xml:space="preserve">However, other commentators regard this emergency action by the MPC as being proven by events to be a mistake.  Then in 2017, we had the </w:t>
      </w:r>
      <w:r w:rsidRPr="00FF1F89">
        <w:rPr>
          <w:rFonts w:eastAsia="Calibri" w:cs="Arial"/>
          <w:b/>
          <w:bCs/>
          <w:color w:val="0D0D0D"/>
          <w:sz w:val="22"/>
          <w:szCs w:val="22"/>
        </w:rPr>
        <w:t>Financial Policy Committee (FPC)</w:t>
      </w:r>
      <w:r w:rsidRPr="00FF1F89">
        <w:rPr>
          <w:rFonts w:eastAsia="Calibri" w:cs="Arial"/>
          <w:color w:val="0D0D0D"/>
          <w:sz w:val="22"/>
          <w:szCs w:val="22"/>
        </w:rPr>
        <w:t xml:space="preserve"> of the Bank of England taking action in June and September over its concerns that cheap borrowing rates, and easy availability of consumer credit, had resulted in too rapid a rate of growth in consumer borrowing and in the size of total borrowing, especially of unsecured borrowing.  It, therefore, took punitive action to clamp down on the ability of the main banks to extend such credit!  Indeed, a PWC </w:t>
      </w:r>
      <w:r w:rsidRPr="00FF1F89">
        <w:rPr>
          <w:rFonts w:eastAsia="Calibri" w:cs="Arial"/>
          <w:color w:val="0D0D0D"/>
          <w:sz w:val="22"/>
          <w:szCs w:val="22"/>
        </w:rPr>
        <w:lastRenderedPageBreak/>
        <w:t>report in October 2017 warned that credit card, car and personal loans and student debt will hit the equivalent of an average of £12,500 per household by 2020.  However, averages belie wide variations in levels of debt with much higher exposure being biased towards younger people, especially the 25 -34 year old band, reflecting their lower levels of real income and asset ownership.</w:t>
      </w:r>
    </w:p>
    <w:p w:rsidR="00C00737" w:rsidRPr="00FF1F89" w:rsidRDefault="00C00737" w:rsidP="00C00737">
      <w:pPr>
        <w:numPr>
          <w:ilvl w:val="12"/>
          <w:numId w:val="0"/>
        </w:numPr>
        <w:jc w:val="both"/>
        <w:rPr>
          <w:rFonts w:eastAsia="Calibri" w:cs="Arial"/>
          <w:color w:val="0D0D0D"/>
          <w:sz w:val="22"/>
          <w:szCs w:val="22"/>
        </w:rPr>
      </w:pPr>
    </w:p>
    <w:p w:rsidR="00C00737" w:rsidRPr="00FF1F89" w:rsidRDefault="00C00737" w:rsidP="00C00737">
      <w:pPr>
        <w:numPr>
          <w:ilvl w:val="12"/>
          <w:numId w:val="0"/>
        </w:numPr>
        <w:jc w:val="both"/>
        <w:rPr>
          <w:rFonts w:eastAsia="Calibri" w:cs="Arial"/>
          <w:color w:val="0D0D0D"/>
          <w:sz w:val="22"/>
          <w:szCs w:val="22"/>
        </w:rPr>
      </w:pPr>
      <w:r w:rsidRPr="00FF1F89">
        <w:rPr>
          <w:rFonts w:eastAsia="Calibri" w:cs="Arial"/>
          <w:color w:val="0D0D0D"/>
          <w:sz w:val="22"/>
          <w:szCs w:val="22"/>
        </w:rPr>
        <w:t xml:space="preserve">One key area of risk is that consumers may have become used to cheap rates since 2008 for borrowing, especially for mortgages.  It is a major concern that </w:t>
      </w:r>
      <w:r w:rsidRPr="00AC46EA">
        <w:rPr>
          <w:rFonts w:eastAsia="Calibri" w:cs="Arial"/>
          <w:b/>
          <w:color w:val="0D0D0D"/>
          <w:sz w:val="22"/>
          <w:szCs w:val="22"/>
        </w:rPr>
        <w:t xml:space="preserve">some </w:t>
      </w:r>
      <w:r w:rsidRPr="00FF1F89">
        <w:rPr>
          <w:rFonts w:eastAsia="Calibri" w:cs="Arial"/>
          <w:b/>
          <w:bCs/>
          <w:color w:val="0D0D0D"/>
          <w:sz w:val="22"/>
          <w:szCs w:val="22"/>
        </w:rPr>
        <w:t xml:space="preserve">consumers may have over extended their borrowing </w:t>
      </w:r>
      <w:r w:rsidRPr="00FF1F89">
        <w:rPr>
          <w:rFonts w:eastAsia="Calibri" w:cs="Arial"/>
          <w:color w:val="0D0D0D"/>
          <w:sz w:val="22"/>
          <w:szCs w:val="22"/>
        </w:rPr>
        <w:t xml:space="preserve">and have become complacent about interest rates going up after Bank Rate had been unchanged at 0.50% since March 2009 until falling further to 0.25% in August 2016. This is why forward guidance from the Bank of England continues to emphasise slow and gradual increases in Bank Rate </w:t>
      </w:r>
      <w:r>
        <w:rPr>
          <w:rFonts w:eastAsia="Calibri" w:cs="Arial"/>
          <w:color w:val="0D0D0D"/>
          <w:sz w:val="22"/>
          <w:szCs w:val="22"/>
        </w:rPr>
        <w:t>in the coming years.</w:t>
      </w:r>
      <w:r w:rsidRPr="00FF1F89">
        <w:rPr>
          <w:rFonts w:eastAsia="Calibri" w:cs="Arial"/>
          <w:color w:val="0D0D0D"/>
          <w:sz w:val="22"/>
          <w:szCs w:val="22"/>
        </w:rPr>
        <w:t>  However, consumer borrowing is a particularly vulnerable area in terms of the Monetary Policy Committee getting the pace and strength of Bank Rate increases right - without causing a sudden shock to consumer demand, confidence and thereby to the pace of economic growth.</w:t>
      </w:r>
    </w:p>
    <w:p w:rsidR="00C00737" w:rsidRPr="00FF1F89" w:rsidRDefault="00C00737" w:rsidP="00C00737">
      <w:pPr>
        <w:numPr>
          <w:ilvl w:val="12"/>
          <w:numId w:val="0"/>
        </w:numPr>
        <w:jc w:val="both"/>
        <w:rPr>
          <w:rFonts w:eastAsia="Calibri" w:cs="Arial"/>
          <w:color w:val="0D0D0D"/>
          <w:sz w:val="22"/>
          <w:szCs w:val="22"/>
        </w:rPr>
      </w:pPr>
    </w:p>
    <w:p w:rsidR="00C00737" w:rsidRPr="00FF1F89" w:rsidRDefault="00C00737" w:rsidP="00C00737">
      <w:pPr>
        <w:numPr>
          <w:ilvl w:val="12"/>
          <w:numId w:val="0"/>
        </w:numPr>
        <w:jc w:val="both"/>
        <w:rPr>
          <w:rFonts w:eastAsia="Calibri" w:cs="Arial"/>
          <w:color w:val="0D0D0D"/>
          <w:sz w:val="22"/>
          <w:szCs w:val="22"/>
        </w:rPr>
      </w:pPr>
      <w:r w:rsidRPr="00FF1F89">
        <w:rPr>
          <w:rFonts w:eastAsia="Calibri" w:cs="Arial"/>
          <w:color w:val="0D0D0D"/>
          <w:sz w:val="22"/>
          <w:szCs w:val="22"/>
        </w:rPr>
        <w:t>Moreover, while there is so much uncertainty around the Brexit negotiations, consumer confidence, and business confidence to spend on investing, it is far too early to be confident about how the next two to three years will actually pan out.</w:t>
      </w:r>
    </w:p>
    <w:p w:rsidR="00C00737" w:rsidRPr="00FF1F89" w:rsidRDefault="00C00737" w:rsidP="00C00737">
      <w:pPr>
        <w:numPr>
          <w:ilvl w:val="12"/>
          <w:numId w:val="0"/>
        </w:numPr>
        <w:jc w:val="both"/>
        <w:rPr>
          <w:rFonts w:eastAsia="Calibri" w:cs="Arial"/>
          <w:color w:val="0D0D0D"/>
          <w:sz w:val="22"/>
          <w:szCs w:val="22"/>
        </w:rPr>
      </w:pPr>
    </w:p>
    <w:p w:rsidR="00C00737" w:rsidRPr="00C815F4" w:rsidRDefault="00C00737" w:rsidP="00C00737">
      <w:pPr>
        <w:numPr>
          <w:ilvl w:val="12"/>
          <w:numId w:val="0"/>
        </w:numPr>
        <w:jc w:val="both"/>
        <w:rPr>
          <w:rFonts w:eastAsia="Calibri" w:cs="Arial"/>
          <w:color w:val="0D0D0D"/>
          <w:sz w:val="22"/>
          <w:szCs w:val="22"/>
          <w:lang w:val="en-AU"/>
        </w:rPr>
      </w:pPr>
      <w:r>
        <w:rPr>
          <w:rFonts w:eastAsia="Calibri" w:cs="Arial"/>
          <w:b/>
          <w:bCs/>
          <w:color w:val="0D0D0D"/>
          <w:sz w:val="22"/>
          <w:szCs w:val="22"/>
        </w:rPr>
        <w:t>EZ</w:t>
      </w:r>
      <w:r w:rsidRPr="00FF1F89">
        <w:rPr>
          <w:rFonts w:eastAsia="Calibri" w:cs="Arial"/>
          <w:b/>
          <w:bCs/>
          <w:color w:val="0D0D0D"/>
          <w:sz w:val="22"/>
          <w:szCs w:val="22"/>
        </w:rPr>
        <w:t>.</w:t>
      </w:r>
      <w:r w:rsidRPr="00FF1F89">
        <w:rPr>
          <w:rFonts w:eastAsia="Calibri" w:cs="Arial"/>
          <w:color w:val="0D0D0D"/>
          <w:sz w:val="22"/>
          <w:szCs w:val="22"/>
        </w:rPr>
        <w:t xml:space="preserve">  </w:t>
      </w:r>
      <w:r w:rsidRPr="00C815F4">
        <w:rPr>
          <w:rFonts w:eastAsia="Calibri" w:cs="Arial"/>
          <w:color w:val="0D0D0D"/>
          <w:sz w:val="22"/>
          <w:szCs w:val="22"/>
          <w:lang w:val="en-AU"/>
        </w:rPr>
        <w:t>Economic growth in the eurozone (EZ), (the UK’s biggest trading partner), had been lack lustre for several years after the financial crisis despite the ECB eventually cutting its main rate to -0.4% and embarking on a massive programme of QE.  However, growth picked up in 2016 and has now gathered substantial strength and momentum thanks to this stimulus.  GDP growth was 0.6% in quarter 1 (2.</w:t>
      </w:r>
      <w:r>
        <w:rPr>
          <w:rFonts w:eastAsia="Calibri" w:cs="Arial"/>
          <w:color w:val="0D0D0D"/>
          <w:sz w:val="22"/>
          <w:szCs w:val="22"/>
          <w:lang w:val="en-AU"/>
        </w:rPr>
        <w:t>1</w:t>
      </w:r>
      <w:r w:rsidRPr="00C815F4">
        <w:rPr>
          <w:rFonts w:eastAsia="Calibri" w:cs="Arial"/>
          <w:color w:val="0D0D0D"/>
          <w:sz w:val="22"/>
          <w:szCs w:val="22"/>
          <w:lang w:val="en-AU"/>
        </w:rPr>
        <w:t>% y/y), 0.7% in quarter 2 (2.</w:t>
      </w:r>
      <w:r>
        <w:rPr>
          <w:rFonts w:eastAsia="Calibri" w:cs="Arial"/>
          <w:color w:val="0D0D0D"/>
          <w:sz w:val="22"/>
          <w:szCs w:val="22"/>
          <w:lang w:val="en-AU"/>
        </w:rPr>
        <w:t>4</w:t>
      </w:r>
      <w:r w:rsidRPr="00C815F4">
        <w:rPr>
          <w:rFonts w:eastAsia="Calibri" w:cs="Arial"/>
          <w:color w:val="0D0D0D"/>
          <w:sz w:val="22"/>
          <w:szCs w:val="22"/>
          <w:lang w:val="en-AU"/>
        </w:rPr>
        <w:t>% y/y) and +0.6% in quarter 3 (2.</w:t>
      </w:r>
      <w:r>
        <w:rPr>
          <w:rFonts w:eastAsia="Calibri" w:cs="Arial"/>
          <w:color w:val="0D0D0D"/>
          <w:sz w:val="22"/>
          <w:szCs w:val="22"/>
          <w:lang w:val="en-AU"/>
        </w:rPr>
        <w:t>6</w:t>
      </w:r>
      <w:r w:rsidRPr="00C815F4">
        <w:rPr>
          <w:rFonts w:eastAsia="Calibri" w:cs="Arial"/>
          <w:color w:val="0D0D0D"/>
          <w:sz w:val="22"/>
          <w:szCs w:val="22"/>
          <w:lang w:val="en-AU"/>
        </w:rPr>
        <w:t xml:space="preserve">% y/y).  However, despite providing massive monetary stimulus, the European Central Bank is still struggling to get inflation up to its 2% target and in </w:t>
      </w:r>
      <w:r>
        <w:rPr>
          <w:rFonts w:eastAsia="Calibri" w:cs="Arial"/>
          <w:color w:val="0D0D0D"/>
          <w:sz w:val="22"/>
          <w:szCs w:val="22"/>
          <w:lang w:val="en-AU"/>
        </w:rPr>
        <w:t>November</w:t>
      </w:r>
      <w:r w:rsidRPr="00C815F4">
        <w:rPr>
          <w:rFonts w:eastAsia="Calibri" w:cs="Arial"/>
          <w:color w:val="0D0D0D"/>
          <w:sz w:val="22"/>
          <w:szCs w:val="22"/>
          <w:lang w:val="en-AU"/>
        </w:rPr>
        <w:t xml:space="preserve"> inflation was 1.</w:t>
      </w:r>
      <w:r>
        <w:rPr>
          <w:rFonts w:eastAsia="Calibri" w:cs="Arial"/>
          <w:color w:val="0D0D0D"/>
          <w:sz w:val="22"/>
          <w:szCs w:val="22"/>
          <w:lang w:val="en-AU"/>
        </w:rPr>
        <w:t>5</w:t>
      </w:r>
      <w:r w:rsidRPr="00C815F4">
        <w:rPr>
          <w:rFonts w:eastAsia="Calibri" w:cs="Arial"/>
          <w:color w:val="0D0D0D"/>
          <w:sz w:val="22"/>
          <w:szCs w:val="22"/>
          <w:lang w:val="en-AU"/>
        </w:rPr>
        <w:t xml:space="preserve">%. It is therefore unlikely to start on an upswing in rates until possibly 2019. It has, however, announced that it will slow down its monthly QE purchases of debt from €60bn to €30bn from January 2018 and continue to at least September 2018.  </w:t>
      </w:r>
    </w:p>
    <w:p w:rsidR="00C00737" w:rsidRPr="00FF1F89" w:rsidRDefault="00C00737" w:rsidP="00C00737">
      <w:pPr>
        <w:numPr>
          <w:ilvl w:val="12"/>
          <w:numId w:val="0"/>
        </w:numPr>
        <w:jc w:val="both"/>
        <w:rPr>
          <w:rFonts w:eastAsia="Calibri" w:cs="Arial"/>
          <w:color w:val="0D0D0D"/>
          <w:sz w:val="22"/>
          <w:szCs w:val="22"/>
        </w:rPr>
      </w:pPr>
    </w:p>
    <w:p w:rsidR="00C00737" w:rsidRPr="00FF1F89" w:rsidRDefault="00C00737" w:rsidP="00C00737">
      <w:pPr>
        <w:numPr>
          <w:ilvl w:val="12"/>
          <w:numId w:val="0"/>
        </w:numPr>
        <w:jc w:val="both"/>
        <w:rPr>
          <w:rFonts w:eastAsia="Calibri" w:cs="Arial"/>
          <w:color w:val="0D0D0D"/>
          <w:sz w:val="22"/>
          <w:szCs w:val="22"/>
        </w:rPr>
      </w:pPr>
      <w:r w:rsidRPr="00FF1F89">
        <w:rPr>
          <w:rFonts w:eastAsia="Calibri" w:cs="Arial"/>
          <w:b/>
          <w:bCs/>
          <w:color w:val="0D0D0D"/>
          <w:sz w:val="22"/>
          <w:szCs w:val="22"/>
        </w:rPr>
        <w:t>USA.</w:t>
      </w:r>
      <w:r w:rsidRPr="00FF1F89">
        <w:rPr>
          <w:rFonts w:eastAsia="Calibri" w:cs="Arial"/>
          <w:color w:val="0D0D0D"/>
          <w:sz w:val="22"/>
          <w:szCs w:val="22"/>
        </w:rPr>
        <w:t xml:space="preserve"> Growth in the American economy was notably erratic and volatile in 2015 and 2016.  2017 is following that path again with quarter 1 coming in at only 1.2% but quarter 2 rebounding to 3.1%</w:t>
      </w:r>
      <w:r>
        <w:rPr>
          <w:rFonts w:eastAsia="Calibri" w:cs="Arial"/>
          <w:color w:val="0D0D0D"/>
          <w:sz w:val="22"/>
          <w:szCs w:val="22"/>
        </w:rPr>
        <w:t xml:space="preserve"> and quarter 3 coming in at 3.2%.  </w:t>
      </w:r>
      <w:r w:rsidRPr="00FF1F89">
        <w:rPr>
          <w:rFonts w:eastAsia="Calibri" w:cs="Arial"/>
          <w:color w:val="0D0D0D"/>
          <w:sz w:val="22"/>
          <w:szCs w:val="22"/>
        </w:rPr>
        <w:t>Unemployment in the US has also fallen to the lowest level for many years, reaching 4.</w:t>
      </w:r>
      <w:r>
        <w:rPr>
          <w:rFonts w:eastAsia="Calibri" w:cs="Arial"/>
          <w:color w:val="0D0D0D"/>
          <w:sz w:val="22"/>
          <w:szCs w:val="22"/>
        </w:rPr>
        <w:t>1</w:t>
      </w:r>
      <w:r w:rsidRPr="00FF1F89">
        <w:rPr>
          <w:rFonts w:eastAsia="Calibri" w:cs="Arial"/>
          <w:color w:val="0D0D0D"/>
          <w:sz w:val="22"/>
          <w:szCs w:val="22"/>
        </w:rPr>
        <w:t xml:space="preserve">%, while wage inflation pressures, and inflationary pressures in general, have been building. The Fed has started on a gradual upswing in rates with four increases in all and </w:t>
      </w:r>
      <w:r>
        <w:rPr>
          <w:rFonts w:eastAsia="Calibri" w:cs="Arial"/>
          <w:color w:val="0D0D0D"/>
          <w:sz w:val="22"/>
          <w:szCs w:val="22"/>
        </w:rPr>
        <w:t>four</w:t>
      </w:r>
      <w:r w:rsidRPr="00FF1F89">
        <w:rPr>
          <w:rFonts w:eastAsia="Calibri" w:cs="Arial"/>
          <w:color w:val="0D0D0D"/>
          <w:sz w:val="22"/>
          <w:szCs w:val="22"/>
        </w:rPr>
        <w:t xml:space="preserve"> increases since December 2016; </w:t>
      </w:r>
      <w:r>
        <w:rPr>
          <w:rFonts w:eastAsia="Calibri" w:cs="Arial"/>
          <w:color w:val="0D0D0D"/>
          <w:sz w:val="22"/>
          <w:szCs w:val="22"/>
        </w:rPr>
        <w:t>the latest rise was in December 2017 and</w:t>
      </w:r>
      <w:r w:rsidRPr="00FF1F89">
        <w:rPr>
          <w:rFonts w:eastAsia="Calibri" w:cs="Arial"/>
          <w:color w:val="0D0D0D"/>
          <w:sz w:val="22"/>
          <w:szCs w:val="22"/>
        </w:rPr>
        <w:t xml:space="preserve"> lift</w:t>
      </w:r>
      <w:r>
        <w:rPr>
          <w:rFonts w:eastAsia="Calibri" w:cs="Arial"/>
          <w:color w:val="0D0D0D"/>
          <w:sz w:val="22"/>
          <w:szCs w:val="22"/>
        </w:rPr>
        <w:t>ed</w:t>
      </w:r>
      <w:r w:rsidRPr="00FF1F89">
        <w:rPr>
          <w:rFonts w:eastAsia="Calibri" w:cs="Arial"/>
          <w:color w:val="0D0D0D"/>
          <w:sz w:val="22"/>
          <w:szCs w:val="22"/>
        </w:rPr>
        <w:t xml:space="preserve"> the central rate to 1.25 – 1.50%. There could then be another four increases in 2018. At its September meeting, the Fed said it would start in October to gradually unwind its $4.5 trillion balance sheet holdings of bonds and mortgage backed securities by reducing its reinvestment of maturing holdings.</w:t>
      </w:r>
    </w:p>
    <w:p w:rsidR="00C00737" w:rsidRPr="00FF1F89" w:rsidRDefault="00C00737" w:rsidP="00C00737">
      <w:pPr>
        <w:numPr>
          <w:ilvl w:val="12"/>
          <w:numId w:val="0"/>
        </w:numPr>
        <w:jc w:val="both"/>
        <w:rPr>
          <w:rFonts w:eastAsia="Calibri" w:cs="Arial"/>
          <w:color w:val="0D0D0D"/>
          <w:sz w:val="22"/>
          <w:szCs w:val="22"/>
        </w:rPr>
      </w:pPr>
    </w:p>
    <w:p w:rsidR="00C00737" w:rsidRPr="00FF1F89" w:rsidRDefault="00C00737" w:rsidP="00C00737">
      <w:pPr>
        <w:numPr>
          <w:ilvl w:val="12"/>
          <w:numId w:val="0"/>
        </w:numPr>
        <w:jc w:val="both"/>
        <w:rPr>
          <w:rFonts w:eastAsia="Calibri" w:cs="Arial"/>
          <w:color w:val="0D0D0D"/>
          <w:sz w:val="22"/>
          <w:szCs w:val="22"/>
        </w:rPr>
      </w:pPr>
      <w:r w:rsidRPr="00FF1F89">
        <w:rPr>
          <w:rFonts w:eastAsia="Calibri" w:cs="Arial"/>
          <w:b/>
          <w:bCs/>
          <w:color w:val="0D0D0D"/>
          <w:sz w:val="22"/>
          <w:szCs w:val="22"/>
        </w:rPr>
        <w:t xml:space="preserve">CHINA. </w:t>
      </w:r>
      <w:r w:rsidRPr="00FF1F89">
        <w:rPr>
          <w:rFonts w:eastAsia="Calibri" w:cs="Arial"/>
          <w:color w:val="0D0D0D"/>
          <w:sz w:val="22"/>
          <w:szCs w:val="22"/>
        </w:rPr>
        <w:t>Economic growth has been weakening over successive years, despite repeated rounds of central bank stimulus; medium term risks are increasing. Major progress still needs to be made to eliminate excess industrial capacity and the stock of unsold property, and to address the level of non-performing loans in the banking and credit systems.</w:t>
      </w:r>
    </w:p>
    <w:p w:rsidR="00C00737" w:rsidRPr="00FF1F89" w:rsidRDefault="00C00737" w:rsidP="00C00737">
      <w:pPr>
        <w:numPr>
          <w:ilvl w:val="12"/>
          <w:numId w:val="0"/>
        </w:numPr>
        <w:jc w:val="both"/>
        <w:rPr>
          <w:rFonts w:eastAsia="Calibri" w:cs="Arial"/>
          <w:color w:val="0D0D0D"/>
          <w:sz w:val="22"/>
          <w:szCs w:val="22"/>
        </w:rPr>
      </w:pPr>
    </w:p>
    <w:p w:rsidR="00C00737" w:rsidRPr="00FF1F89" w:rsidRDefault="00C00737" w:rsidP="00C00737">
      <w:pPr>
        <w:numPr>
          <w:ilvl w:val="12"/>
          <w:numId w:val="0"/>
        </w:numPr>
        <w:jc w:val="both"/>
        <w:rPr>
          <w:rFonts w:eastAsia="Calibri" w:cs="Arial"/>
          <w:color w:val="0D0D0D"/>
          <w:sz w:val="22"/>
          <w:szCs w:val="22"/>
        </w:rPr>
      </w:pPr>
      <w:r w:rsidRPr="00FF1F89">
        <w:rPr>
          <w:rFonts w:eastAsia="Calibri" w:cs="Arial"/>
          <w:b/>
          <w:bCs/>
          <w:color w:val="0D0D0D"/>
          <w:sz w:val="22"/>
          <w:szCs w:val="22"/>
        </w:rPr>
        <w:t>JAPAN</w:t>
      </w:r>
      <w:r>
        <w:rPr>
          <w:rFonts w:eastAsia="Calibri" w:cs="Arial"/>
          <w:b/>
          <w:bCs/>
          <w:color w:val="0D0D0D"/>
          <w:sz w:val="22"/>
          <w:szCs w:val="22"/>
        </w:rPr>
        <w:t>.</w:t>
      </w:r>
      <w:r w:rsidRPr="00FF1F89">
        <w:rPr>
          <w:rFonts w:eastAsia="Calibri" w:cs="Arial"/>
          <w:b/>
          <w:bCs/>
          <w:color w:val="0D0D0D"/>
          <w:sz w:val="22"/>
          <w:szCs w:val="22"/>
        </w:rPr>
        <w:t xml:space="preserve"> </w:t>
      </w:r>
      <w:r w:rsidRPr="00BF0802">
        <w:rPr>
          <w:rFonts w:eastAsia="Calibri" w:cs="Arial"/>
          <w:bCs/>
          <w:color w:val="0D0D0D"/>
          <w:sz w:val="22"/>
          <w:szCs w:val="22"/>
        </w:rPr>
        <w:t>GDP growth has been gradually improving during 2017 to reach an annual figure of 2.1% in quarter 3.  However, it is still</w:t>
      </w:r>
      <w:r>
        <w:rPr>
          <w:rFonts w:eastAsia="Calibri" w:cs="Arial"/>
          <w:b/>
          <w:bCs/>
          <w:color w:val="0D0D0D"/>
          <w:sz w:val="22"/>
          <w:szCs w:val="22"/>
        </w:rPr>
        <w:t xml:space="preserve"> </w:t>
      </w:r>
      <w:r w:rsidRPr="00FF1F89">
        <w:rPr>
          <w:rFonts w:eastAsia="Calibri" w:cs="Arial"/>
          <w:color w:val="0D0D0D"/>
          <w:sz w:val="22"/>
          <w:szCs w:val="22"/>
        </w:rPr>
        <w:t>struggling to get inflation up to its target of 2%, despite huge monetary and fiscal stimulus. It is also making little progress on fundamental reform of the economy.</w:t>
      </w:r>
    </w:p>
    <w:p w:rsidR="00C00737" w:rsidRPr="00FF1F89" w:rsidRDefault="00C00737" w:rsidP="00C00737">
      <w:pPr>
        <w:numPr>
          <w:ilvl w:val="12"/>
          <w:numId w:val="0"/>
        </w:numPr>
        <w:jc w:val="both"/>
        <w:rPr>
          <w:rFonts w:eastAsia="Calibri" w:cs="Arial"/>
          <w:b/>
          <w:bCs/>
          <w:color w:val="0D0D0D"/>
          <w:sz w:val="22"/>
          <w:szCs w:val="22"/>
          <w:u w:val="single"/>
        </w:rPr>
      </w:pPr>
    </w:p>
    <w:p w:rsidR="00C00737" w:rsidRPr="00FF1F89" w:rsidRDefault="00C00737" w:rsidP="00C00737">
      <w:pPr>
        <w:jc w:val="both"/>
        <w:rPr>
          <w:rFonts w:eastAsia="Calibri" w:cs="Arial"/>
          <w:b/>
          <w:bCs/>
          <w:sz w:val="22"/>
          <w:szCs w:val="22"/>
        </w:rPr>
      </w:pPr>
      <w:r>
        <w:rPr>
          <w:rFonts w:eastAsia="Calibri" w:cs="Arial"/>
          <w:b/>
          <w:bCs/>
          <w:sz w:val="22"/>
          <w:szCs w:val="22"/>
        </w:rPr>
        <w:t xml:space="preserve">          </w:t>
      </w:r>
    </w:p>
    <w:p w:rsidR="00C00737" w:rsidRPr="00FF1F89" w:rsidRDefault="00C00737" w:rsidP="00C00737">
      <w:pPr>
        <w:jc w:val="both"/>
        <w:rPr>
          <w:rFonts w:eastAsia="Calibri" w:cs="Arial"/>
          <w:b/>
          <w:bCs/>
          <w:sz w:val="22"/>
          <w:szCs w:val="22"/>
        </w:rPr>
      </w:pPr>
    </w:p>
    <w:p w:rsidR="00C00737" w:rsidRPr="00FF1F89" w:rsidRDefault="00C00737" w:rsidP="00C00737">
      <w:pPr>
        <w:jc w:val="both"/>
        <w:rPr>
          <w:rFonts w:eastAsia="Calibri" w:cs="Arial"/>
          <w:b/>
          <w:bCs/>
          <w:sz w:val="22"/>
          <w:szCs w:val="22"/>
          <w:u w:val="single"/>
        </w:rPr>
      </w:pPr>
      <w:r w:rsidRPr="00FF1F89">
        <w:rPr>
          <w:rFonts w:eastAsia="Calibri" w:cs="Arial"/>
          <w:b/>
          <w:bCs/>
          <w:sz w:val="22"/>
          <w:szCs w:val="22"/>
          <w:u w:val="single"/>
        </w:rPr>
        <w:lastRenderedPageBreak/>
        <w:t>Brexit timetable and process</w:t>
      </w:r>
    </w:p>
    <w:p w:rsidR="00C00737" w:rsidRPr="00FF1F89" w:rsidRDefault="00C00737" w:rsidP="00C00737">
      <w:pPr>
        <w:numPr>
          <w:ilvl w:val="0"/>
          <w:numId w:val="31"/>
        </w:numPr>
        <w:jc w:val="both"/>
        <w:rPr>
          <w:rFonts w:cs="Arial"/>
          <w:sz w:val="22"/>
          <w:szCs w:val="22"/>
        </w:rPr>
      </w:pPr>
      <w:r w:rsidRPr="00FF1F89">
        <w:rPr>
          <w:rFonts w:cs="Arial"/>
          <w:sz w:val="22"/>
          <w:szCs w:val="22"/>
        </w:rPr>
        <w:t xml:space="preserve">March 2017: UK government notifies the European Council of its intention to leave under the Treaty on European Union Article 50 </w:t>
      </w:r>
    </w:p>
    <w:p w:rsidR="00C00737" w:rsidRPr="00FF1F89" w:rsidRDefault="00C00737" w:rsidP="00C00737">
      <w:pPr>
        <w:numPr>
          <w:ilvl w:val="0"/>
          <w:numId w:val="31"/>
        </w:numPr>
        <w:jc w:val="both"/>
        <w:rPr>
          <w:rFonts w:cs="Arial"/>
          <w:sz w:val="22"/>
          <w:szCs w:val="22"/>
        </w:rPr>
      </w:pPr>
      <w:r w:rsidRPr="00FF1F89">
        <w:rPr>
          <w:rFonts w:cs="Arial"/>
          <w:sz w:val="22"/>
          <w:szCs w:val="22"/>
        </w:rPr>
        <w:t xml:space="preserve">March 2019: initial two-year negotiation period on the terms of exit.  In her Florence speech in September 2017, the Prime Minister proposed a two year transitional period after March 2019.  </w:t>
      </w:r>
    </w:p>
    <w:p w:rsidR="00C00737" w:rsidRPr="00FF1F89" w:rsidRDefault="00C00737" w:rsidP="00C00737">
      <w:pPr>
        <w:numPr>
          <w:ilvl w:val="0"/>
          <w:numId w:val="31"/>
        </w:numPr>
        <w:jc w:val="both"/>
        <w:rPr>
          <w:rFonts w:cs="Arial"/>
          <w:sz w:val="22"/>
          <w:szCs w:val="22"/>
        </w:rPr>
      </w:pPr>
      <w:r w:rsidRPr="00FF1F89">
        <w:rPr>
          <w:rFonts w:cs="Arial"/>
          <w:sz w:val="22"/>
          <w:szCs w:val="22"/>
        </w:rPr>
        <w:t>UK continues as a full EU member until March 2019 with access to the single market and tariff free trade between the EU and UK. Different sectors of the UK economy will leave the single market and tariff free trade at different times during the two year transitional period.</w:t>
      </w:r>
    </w:p>
    <w:p w:rsidR="00C00737" w:rsidRPr="00FF1F89" w:rsidRDefault="00C00737" w:rsidP="00C00737">
      <w:pPr>
        <w:numPr>
          <w:ilvl w:val="0"/>
          <w:numId w:val="31"/>
        </w:numPr>
        <w:jc w:val="both"/>
        <w:rPr>
          <w:rFonts w:cs="Arial"/>
          <w:sz w:val="22"/>
          <w:szCs w:val="22"/>
        </w:rPr>
      </w:pPr>
      <w:r w:rsidRPr="00FF1F89">
        <w:rPr>
          <w:rFonts w:cs="Arial"/>
          <w:sz w:val="22"/>
          <w:szCs w:val="22"/>
        </w:rPr>
        <w:t xml:space="preserve">The UK and EU would attempt to negotiate, among other agreements, a bi-lateral trade agreement over that period. </w:t>
      </w:r>
    </w:p>
    <w:p w:rsidR="00C00737" w:rsidRPr="00FF1F89" w:rsidRDefault="00C00737" w:rsidP="00C00737">
      <w:pPr>
        <w:numPr>
          <w:ilvl w:val="0"/>
          <w:numId w:val="31"/>
        </w:numPr>
        <w:jc w:val="both"/>
        <w:rPr>
          <w:rFonts w:cs="Arial"/>
          <w:sz w:val="22"/>
          <w:szCs w:val="22"/>
        </w:rPr>
      </w:pPr>
      <w:r w:rsidRPr="00FF1F89">
        <w:rPr>
          <w:rFonts w:cs="Arial"/>
          <w:sz w:val="22"/>
          <w:szCs w:val="22"/>
        </w:rPr>
        <w:t>The UK would aim for a negotiated agreed withdrawal from the EU, although the UK could also exit without any such agreements in the event of a breakdown of negotiations.</w:t>
      </w:r>
    </w:p>
    <w:p w:rsidR="00C00737" w:rsidRPr="00FF1F89" w:rsidRDefault="00C00737" w:rsidP="00C00737">
      <w:pPr>
        <w:numPr>
          <w:ilvl w:val="0"/>
          <w:numId w:val="31"/>
        </w:numPr>
        <w:jc w:val="both"/>
        <w:rPr>
          <w:rFonts w:cs="Arial"/>
          <w:sz w:val="22"/>
          <w:szCs w:val="22"/>
        </w:rPr>
      </w:pPr>
      <w:r w:rsidRPr="00FF1F89">
        <w:rPr>
          <w:rFonts w:cs="Arial"/>
          <w:sz w:val="22"/>
          <w:szCs w:val="22"/>
        </w:rPr>
        <w:t>If the UK exits without an agreed deal with the EU, World Trade Organisation rules and tariffs could apply to trade between the UK and EU - but this is not certain.</w:t>
      </w:r>
    </w:p>
    <w:p w:rsidR="00C00737" w:rsidRPr="00FF1F89" w:rsidRDefault="00C00737" w:rsidP="00C00737">
      <w:pPr>
        <w:numPr>
          <w:ilvl w:val="0"/>
          <w:numId w:val="31"/>
        </w:numPr>
        <w:jc w:val="both"/>
        <w:rPr>
          <w:rFonts w:cs="Arial"/>
          <w:sz w:val="22"/>
          <w:szCs w:val="22"/>
        </w:rPr>
      </w:pPr>
      <w:r w:rsidRPr="00FF1F89">
        <w:rPr>
          <w:rFonts w:cs="Arial"/>
          <w:sz w:val="22"/>
          <w:szCs w:val="22"/>
        </w:rPr>
        <w:t>On full exit from the EU: the UK parliament would repeal the 1972 European Communities Act.</w:t>
      </w:r>
    </w:p>
    <w:p w:rsidR="00C00737" w:rsidRPr="00FF1F89" w:rsidRDefault="00C00737" w:rsidP="00C00737">
      <w:pPr>
        <w:numPr>
          <w:ilvl w:val="0"/>
          <w:numId w:val="31"/>
        </w:numPr>
        <w:jc w:val="both"/>
        <w:rPr>
          <w:rFonts w:cs="Arial"/>
          <w:sz w:val="22"/>
          <w:szCs w:val="22"/>
        </w:rPr>
      </w:pPr>
      <w:r w:rsidRPr="00FF1F89">
        <w:rPr>
          <w:rFonts w:cs="Arial"/>
          <w:sz w:val="22"/>
          <w:szCs w:val="22"/>
        </w:rPr>
        <w:t>The UK will then no longer participate in matters reserved for EU members, such as changes to the EU’s budget, voting allocations and policies.</w:t>
      </w:r>
    </w:p>
    <w:p w:rsidR="00C00737" w:rsidRDefault="00C00737" w:rsidP="00C00737">
      <w:pPr>
        <w:pStyle w:val="BodyText"/>
        <w:numPr>
          <w:ilvl w:val="12"/>
          <w:numId w:val="0"/>
        </w:numPr>
        <w:jc w:val="both"/>
        <w:rPr>
          <w:b/>
          <w:color w:val="0D0D0D"/>
          <w:spacing w:val="-5"/>
          <w:sz w:val="22"/>
          <w:szCs w:val="22"/>
        </w:rPr>
      </w:pPr>
    </w:p>
    <w:bookmarkEnd w:id="13"/>
    <w:p w:rsidR="00CF6FAC" w:rsidRDefault="00CF6FAC">
      <w:pPr>
        <w:rPr>
          <w:rFonts w:cs="Arial"/>
          <w:b/>
          <w:noProof/>
          <w:sz w:val="32"/>
          <w:szCs w:val="32"/>
        </w:rPr>
      </w:pPr>
      <w:r>
        <w:rPr>
          <w:rFonts w:cs="Arial"/>
          <w:b/>
          <w:noProof/>
          <w:sz w:val="32"/>
          <w:szCs w:val="32"/>
        </w:rPr>
        <w:br w:type="page"/>
      </w:r>
    </w:p>
    <w:p w:rsidR="007F72D3" w:rsidRPr="00DE74ED" w:rsidRDefault="007F72D3" w:rsidP="00416ACE">
      <w:pPr>
        <w:jc w:val="right"/>
        <w:rPr>
          <w:rFonts w:cs="Arial"/>
          <w:b/>
          <w:noProof/>
          <w:sz w:val="32"/>
          <w:szCs w:val="32"/>
        </w:rPr>
      </w:pPr>
      <w:r w:rsidRPr="00DE74ED">
        <w:rPr>
          <w:rFonts w:cs="Arial"/>
          <w:b/>
          <w:noProof/>
          <w:sz w:val="32"/>
          <w:szCs w:val="32"/>
        </w:rPr>
        <w:lastRenderedPageBreak/>
        <w:t xml:space="preserve">APPENDIX </w:t>
      </w:r>
      <w:r w:rsidR="00007E2C">
        <w:rPr>
          <w:rFonts w:cs="Arial"/>
          <w:b/>
          <w:noProof/>
          <w:sz w:val="32"/>
          <w:szCs w:val="32"/>
        </w:rPr>
        <w:t>F</w:t>
      </w:r>
    </w:p>
    <w:p w:rsidR="00F47D2E" w:rsidRPr="00650028" w:rsidRDefault="00F47D2E" w:rsidP="00F47D2E">
      <w:pPr>
        <w:spacing w:before="270" w:after="180"/>
        <w:ind w:left="720" w:hanging="720"/>
        <w:jc w:val="both"/>
        <w:rPr>
          <w:rFonts w:cs="Arial"/>
          <w:b/>
          <w:noProof/>
          <w:sz w:val="32"/>
          <w:szCs w:val="32"/>
        </w:rPr>
      </w:pPr>
      <w:r w:rsidRPr="00DE74ED">
        <w:rPr>
          <w:rFonts w:cs="Arial"/>
          <w:b/>
          <w:noProof/>
          <w:sz w:val="32"/>
          <w:szCs w:val="32"/>
        </w:rPr>
        <w:t>Counterparties</w:t>
      </w:r>
    </w:p>
    <w:p w:rsidR="007F72D3" w:rsidRPr="005362B9" w:rsidRDefault="007F72D3" w:rsidP="007F72D3">
      <w:pPr>
        <w:ind w:left="561" w:hanging="561"/>
        <w:jc w:val="both"/>
        <w:rPr>
          <w:rFonts w:cs="Arial"/>
          <w:b/>
        </w:rPr>
      </w:pPr>
      <w:r w:rsidRPr="005362B9">
        <w:rPr>
          <w:rFonts w:cs="Arial"/>
          <w:b/>
        </w:rPr>
        <w:t>Specified Investments</w:t>
      </w:r>
    </w:p>
    <w:p w:rsidR="007F72D3" w:rsidRPr="005362B9" w:rsidRDefault="007F72D3" w:rsidP="00F47D2E">
      <w:pPr>
        <w:autoSpaceDE w:val="0"/>
        <w:autoSpaceDN w:val="0"/>
        <w:adjustRightInd w:val="0"/>
        <w:jc w:val="both"/>
        <w:rPr>
          <w:szCs w:val="24"/>
        </w:rPr>
      </w:pPr>
      <w:r w:rsidRPr="005362B9">
        <w:rPr>
          <w:rFonts w:cs="Arial"/>
          <w:szCs w:val="24"/>
          <w:lang w:eastAsia="en-GB"/>
        </w:rPr>
        <w:t>These are sterling investments of a maturity period of not more than 36</w:t>
      </w:r>
      <w:r w:rsidR="003E0CB8">
        <w:rPr>
          <w:rFonts w:cs="Arial"/>
          <w:szCs w:val="24"/>
          <w:lang w:eastAsia="en-GB"/>
        </w:rPr>
        <w:t>5</w:t>
      </w:r>
      <w:r w:rsidRPr="005362B9">
        <w:rPr>
          <w:rFonts w:cs="Arial"/>
          <w:szCs w:val="24"/>
          <w:lang w:eastAsia="en-GB"/>
        </w:rPr>
        <w:t xml:space="preserve"> days, or those which could be for a longer period but where the lender has the right to be repaid within 36</w:t>
      </w:r>
      <w:r w:rsidR="003E0CB8">
        <w:rPr>
          <w:rFonts w:cs="Arial"/>
          <w:szCs w:val="24"/>
          <w:lang w:eastAsia="en-GB"/>
        </w:rPr>
        <w:t>5</w:t>
      </w:r>
      <w:r w:rsidRPr="005362B9">
        <w:rPr>
          <w:rFonts w:cs="Arial"/>
          <w:szCs w:val="24"/>
          <w:lang w:eastAsia="en-GB"/>
        </w:rPr>
        <w:t xml:space="preserve"> days if it wishes. These are low risk assets where</w:t>
      </w:r>
      <w:r w:rsidRPr="005362B9">
        <w:rPr>
          <w:szCs w:val="24"/>
          <w:lang w:eastAsia="en-GB"/>
        </w:rPr>
        <w:t xml:space="preserve"> the possibility of loss of principal or investment income is negligible. </w:t>
      </w:r>
      <w:r w:rsidRPr="005362B9">
        <w:rPr>
          <w:szCs w:val="24"/>
        </w:rPr>
        <w:t>The instruments and credit criteria to be used are set out in the table below.</w:t>
      </w:r>
    </w:p>
    <w:p w:rsidR="007F72D3" w:rsidRPr="005362B9" w:rsidRDefault="007F72D3" w:rsidP="00F47D2E">
      <w:pPr>
        <w:autoSpaceDE w:val="0"/>
        <w:autoSpaceDN w:val="0"/>
        <w:adjustRightInd w:val="0"/>
        <w:jc w:val="both"/>
        <w:rPr>
          <w:szCs w:val="24"/>
        </w:rPr>
      </w:pPr>
    </w:p>
    <w:p w:rsidR="007F72D3" w:rsidRPr="00007E2C" w:rsidRDefault="007F72D3" w:rsidP="007F72D3">
      <w:pPr>
        <w:autoSpaceDE w:val="0"/>
        <w:autoSpaceDN w:val="0"/>
        <w:adjustRightInd w:val="0"/>
        <w:rPr>
          <w:b/>
          <w:szCs w:val="24"/>
        </w:rPr>
      </w:pPr>
      <w:r w:rsidRPr="00007E2C">
        <w:rPr>
          <w:b/>
          <w:szCs w:val="24"/>
        </w:rPr>
        <w:t xml:space="preserve">Table </w:t>
      </w:r>
      <w:r w:rsidR="001D7DC7">
        <w:rPr>
          <w:b/>
          <w:szCs w:val="24"/>
        </w:rPr>
        <w:t>10</w:t>
      </w:r>
      <w:r w:rsidRPr="00007E2C">
        <w:rPr>
          <w:b/>
          <w:szCs w:val="24"/>
        </w:rPr>
        <w:t xml:space="preserve"> Specified Investments</w:t>
      </w:r>
    </w:p>
    <w:p w:rsidR="007F72D3" w:rsidRPr="005362B9" w:rsidRDefault="007F72D3" w:rsidP="007F72D3">
      <w:pPr>
        <w:autoSpaceDE w:val="0"/>
        <w:autoSpaceDN w:val="0"/>
        <w:adjustRightInd w:val="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5"/>
        <w:gridCol w:w="2500"/>
        <w:gridCol w:w="1802"/>
      </w:tblGrid>
      <w:tr w:rsidR="007F72D3" w:rsidRPr="005362B9" w:rsidTr="008C25BC">
        <w:tc>
          <w:tcPr>
            <w:tcW w:w="3755" w:type="dxa"/>
          </w:tcPr>
          <w:p w:rsidR="007F72D3" w:rsidRPr="005362B9" w:rsidRDefault="007F72D3" w:rsidP="007F72D3">
            <w:pPr>
              <w:numPr>
                <w:ilvl w:val="12"/>
                <w:numId w:val="0"/>
              </w:numPr>
              <w:tabs>
                <w:tab w:val="left" w:pos="360"/>
              </w:tabs>
              <w:jc w:val="both"/>
              <w:rPr>
                <w:rFonts w:cs="Arial"/>
                <w:b/>
              </w:rPr>
            </w:pPr>
            <w:r w:rsidRPr="005362B9">
              <w:rPr>
                <w:rFonts w:cs="Arial"/>
                <w:b/>
              </w:rPr>
              <w:t>Instrument</w:t>
            </w:r>
          </w:p>
        </w:tc>
        <w:tc>
          <w:tcPr>
            <w:tcW w:w="2500" w:type="dxa"/>
          </w:tcPr>
          <w:p w:rsidR="007F72D3" w:rsidRPr="005362B9" w:rsidRDefault="007F72D3" w:rsidP="007F72D3">
            <w:pPr>
              <w:numPr>
                <w:ilvl w:val="12"/>
                <w:numId w:val="0"/>
              </w:numPr>
              <w:tabs>
                <w:tab w:val="left" w:pos="360"/>
              </w:tabs>
              <w:jc w:val="center"/>
              <w:rPr>
                <w:rFonts w:cs="Arial"/>
                <w:b/>
              </w:rPr>
            </w:pPr>
            <w:r w:rsidRPr="005362B9">
              <w:rPr>
                <w:rFonts w:cs="Arial"/>
                <w:b/>
              </w:rPr>
              <w:t>Minimum Credit Criteria</w:t>
            </w:r>
          </w:p>
        </w:tc>
        <w:tc>
          <w:tcPr>
            <w:tcW w:w="1802" w:type="dxa"/>
          </w:tcPr>
          <w:p w:rsidR="007F72D3" w:rsidRPr="005362B9" w:rsidRDefault="007F72D3" w:rsidP="007F72D3">
            <w:pPr>
              <w:numPr>
                <w:ilvl w:val="12"/>
                <w:numId w:val="0"/>
              </w:numPr>
              <w:tabs>
                <w:tab w:val="left" w:pos="360"/>
              </w:tabs>
              <w:jc w:val="center"/>
              <w:rPr>
                <w:rFonts w:cs="Arial"/>
                <w:b/>
              </w:rPr>
            </w:pPr>
            <w:r w:rsidRPr="005362B9">
              <w:rPr>
                <w:rFonts w:cs="Arial"/>
                <w:b/>
              </w:rPr>
              <w:t>Use</w:t>
            </w:r>
          </w:p>
        </w:tc>
      </w:tr>
      <w:tr w:rsidR="007F72D3" w:rsidRPr="005362B9" w:rsidTr="008C25BC">
        <w:trPr>
          <w:trHeight w:val="227"/>
        </w:trPr>
        <w:tc>
          <w:tcPr>
            <w:tcW w:w="3755" w:type="dxa"/>
          </w:tcPr>
          <w:p w:rsidR="007F72D3" w:rsidRPr="005362B9" w:rsidRDefault="007F72D3" w:rsidP="007F72D3">
            <w:pPr>
              <w:numPr>
                <w:ilvl w:val="12"/>
                <w:numId w:val="0"/>
              </w:numPr>
              <w:tabs>
                <w:tab w:val="left" w:pos="360"/>
              </w:tabs>
              <w:rPr>
                <w:rFonts w:cs="Arial"/>
                <w:sz w:val="20"/>
              </w:rPr>
            </w:pPr>
            <w:r w:rsidRPr="005362B9">
              <w:rPr>
                <w:rFonts w:cs="Arial"/>
                <w:sz w:val="20"/>
              </w:rPr>
              <w:t>Debt Management Agency Deposit Facility</w:t>
            </w:r>
          </w:p>
        </w:tc>
        <w:tc>
          <w:tcPr>
            <w:tcW w:w="2500" w:type="dxa"/>
          </w:tcPr>
          <w:p w:rsidR="007F72D3" w:rsidRPr="005362B9" w:rsidRDefault="007F72D3" w:rsidP="007F72D3">
            <w:pPr>
              <w:numPr>
                <w:ilvl w:val="12"/>
                <w:numId w:val="0"/>
              </w:numPr>
              <w:tabs>
                <w:tab w:val="left" w:pos="360"/>
              </w:tabs>
              <w:jc w:val="center"/>
              <w:rPr>
                <w:rFonts w:cs="Arial"/>
                <w:sz w:val="20"/>
              </w:rPr>
            </w:pPr>
            <w:r w:rsidRPr="005362B9">
              <w:rPr>
                <w:rFonts w:cs="Arial"/>
                <w:sz w:val="20"/>
              </w:rPr>
              <w:t>Government backed</w:t>
            </w:r>
          </w:p>
        </w:tc>
        <w:tc>
          <w:tcPr>
            <w:tcW w:w="1802" w:type="dxa"/>
          </w:tcPr>
          <w:p w:rsidR="007F72D3" w:rsidRPr="005362B9" w:rsidRDefault="007F72D3" w:rsidP="007F72D3">
            <w:pPr>
              <w:numPr>
                <w:ilvl w:val="12"/>
                <w:numId w:val="0"/>
              </w:numPr>
              <w:tabs>
                <w:tab w:val="left" w:pos="360"/>
              </w:tabs>
              <w:jc w:val="center"/>
              <w:rPr>
                <w:rFonts w:cs="Arial"/>
                <w:sz w:val="20"/>
              </w:rPr>
            </w:pPr>
            <w:r w:rsidRPr="005362B9">
              <w:rPr>
                <w:rFonts w:cs="Arial"/>
                <w:sz w:val="20"/>
              </w:rPr>
              <w:t>In-house</w:t>
            </w:r>
          </w:p>
        </w:tc>
      </w:tr>
      <w:tr w:rsidR="007F72D3" w:rsidRPr="005362B9" w:rsidTr="008C25BC">
        <w:trPr>
          <w:trHeight w:val="227"/>
        </w:trPr>
        <w:tc>
          <w:tcPr>
            <w:tcW w:w="3755" w:type="dxa"/>
          </w:tcPr>
          <w:p w:rsidR="007F72D3" w:rsidRPr="005362B9" w:rsidRDefault="007F72D3" w:rsidP="007F72D3">
            <w:pPr>
              <w:numPr>
                <w:ilvl w:val="12"/>
                <w:numId w:val="0"/>
              </w:numPr>
              <w:tabs>
                <w:tab w:val="left" w:pos="360"/>
              </w:tabs>
              <w:rPr>
                <w:rFonts w:cs="Arial"/>
                <w:sz w:val="20"/>
              </w:rPr>
            </w:pPr>
            <w:r w:rsidRPr="005362B9">
              <w:rPr>
                <w:rFonts w:cs="Arial"/>
                <w:sz w:val="20"/>
              </w:rPr>
              <w:t xml:space="preserve">Term deposits – other LAs </w:t>
            </w:r>
          </w:p>
        </w:tc>
        <w:tc>
          <w:tcPr>
            <w:tcW w:w="2500" w:type="dxa"/>
          </w:tcPr>
          <w:p w:rsidR="007F72D3" w:rsidRPr="005362B9" w:rsidRDefault="007F72D3" w:rsidP="007F72D3">
            <w:pPr>
              <w:numPr>
                <w:ilvl w:val="12"/>
                <w:numId w:val="0"/>
              </w:numPr>
              <w:tabs>
                <w:tab w:val="left" w:pos="360"/>
              </w:tabs>
              <w:jc w:val="center"/>
              <w:rPr>
                <w:rFonts w:cs="Arial"/>
                <w:sz w:val="20"/>
              </w:rPr>
            </w:pPr>
            <w:r w:rsidRPr="005362B9">
              <w:rPr>
                <w:rFonts w:cs="Arial"/>
                <w:sz w:val="20"/>
              </w:rPr>
              <w:t>Local Authority issue</w:t>
            </w:r>
          </w:p>
        </w:tc>
        <w:tc>
          <w:tcPr>
            <w:tcW w:w="1802" w:type="dxa"/>
          </w:tcPr>
          <w:p w:rsidR="007F72D3" w:rsidRPr="005362B9" w:rsidRDefault="007F72D3" w:rsidP="007F72D3">
            <w:pPr>
              <w:numPr>
                <w:ilvl w:val="12"/>
                <w:numId w:val="0"/>
              </w:numPr>
              <w:tabs>
                <w:tab w:val="left" w:pos="360"/>
              </w:tabs>
              <w:jc w:val="center"/>
              <w:rPr>
                <w:rFonts w:cs="Arial"/>
                <w:sz w:val="20"/>
              </w:rPr>
            </w:pPr>
            <w:r w:rsidRPr="005362B9">
              <w:rPr>
                <w:rFonts w:cs="Arial"/>
                <w:sz w:val="20"/>
              </w:rPr>
              <w:t>In-house</w:t>
            </w:r>
          </w:p>
        </w:tc>
      </w:tr>
      <w:tr w:rsidR="007F72D3" w:rsidRPr="005362B9" w:rsidTr="008C25BC">
        <w:trPr>
          <w:trHeight w:val="1012"/>
        </w:trPr>
        <w:tc>
          <w:tcPr>
            <w:tcW w:w="3755" w:type="dxa"/>
          </w:tcPr>
          <w:p w:rsidR="007F72D3" w:rsidRPr="005362B9" w:rsidRDefault="007F72D3" w:rsidP="007F72D3">
            <w:pPr>
              <w:numPr>
                <w:ilvl w:val="12"/>
                <w:numId w:val="0"/>
              </w:numPr>
              <w:tabs>
                <w:tab w:val="left" w:pos="360"/>
              </w:tabs>
              <w:rPr>
                <w:rFonts w:cs="Arial"/>
                <w:sz w:val="20"/>
              </w:rPr>
            </w:pPr>
            <w:r w:rsidRPr="005362B9">
              <w:rPr>
                <w:rFonts w:cs="Arial"/>
                <w:sz w:val="20"/>
              </w:rPr>
              <w:t xml:space="preserve">Term deposits – banks and building societies </w:t>
            </w:r>
          </w:p>
        </w:tc>
        <w:tc>
          <w:tcPr>
            <w:tcW w:w="2500" w:type="dxa"/>
          </w:tcPr>
          <w:p w:rsidR="007F72D3" w:rsidRPr="005362B9" w:rsidRDefault="007F72D3" w:rsidP="007F72D3">
            <w:pPr>
              <w:numPr>
                <w:ilvl w:val="12"/>
                <w:numId w:val="0"/>
              </w:numPr>
              <w:tabs>
                <w:tab w:val="left" w:pos="360"/>
              </w:tabs>
              <w:jc w:val="center"/>
              <w:rPr>
                <w:rFonts w:cs="Arial"/>
                <w:sz w:val="20"/>
              </w:rPr>
            </w:pPr>
            <w:r w:rsidRPr="005362B9">
              <w:rPr>
                <w:rFonts w:cs="Arial"/>
                <w:sz w:val="20"/>
              </w:rPr>
              <w:t>AA- Long Term</w:t>
            </w:r>
          </w:p>
          <w:p w:rsidR="007F72D3" w:rsidRPr="005362B9" w:rsidRDefault="007F72D3" w:rsidP="007F72D3">
            <w:pPr>
              <w:numPr>
                <w:ilvl w:val="12"/>
                <w:numId w:val="0"/>
              </w:numPr>
              <w:tabs>
                <w:tab w:val="left" w:pos="360"/>
              </w:tabs>
              <w:jc w:val="center"/>
              <w:rPr>
                <w:rFonts w:cs="Arial"/>
                <w:sz w:val="20"/>
              </w:rPr>
            </w:pPr>
            <w:r w:rsidRPr="005362B9">
              <w:rPr>
                <w:rFonts w:cs="Arial"/>
                <w:sz w:val="20"/>
              </w:rPr>
              <w:t>F1+Short-term</w:t>
            </w:r>
          </w:p>
          <w:p w:rsidR="007F72D3" w:rsidRPr="005362B9" w:rsidRDefault="007F72D3" w:rsidP="007F72D3">
            <w:pPr>
              <w:numPr>
                <w:ilvl w:val="12"/>
                <w:numId w:val="0"/>
              </w:numPr>
              <w:tabs>
                <w:tab w:val="left" w:pos="360"/>
              </w:tabs>
              <w:jc w:val="center"/>
              <w:rPr>
                <w:rFonts w:cs="Arial"/>
                <w:sz w:val="20"/>
              </w:rPr>
            </w:pPr>
            <w:r w:rsidRPr="005362B9">
              <w:rPr>
                <w:rFonts w:cs="Arial"/>
                <w:sz w:val="20"/>
              </w:rPr>
              <w:t>2 Support</w:t>
            </w:r>
          </w:p>
          <w:p w:rsidR="007F72D3" w:rsidRPr="005362B9" w:rsidRDefault="007F72D3" w:rsidP="007F72D3">
            <w:pPr>
              <w:numPr>
                <w:ilvl w:val="12"/>
                <w:numId w:val="0"/>
              </w:numPr>
              <w:tabs>
                <w:tab w:val="left" w:pos="360"/>
              </w:tabs>
              <w:jc w:val="center"/>
              <w:rPr>
                <w:rFonts w:cs="Arial"/>
                <w:sz w:val="20"/>
              </w:rPr>
            </w:pPr>
            <w:r w:rsidRPr="005362B9">
              <w:rPr>
                <w:rFonts w:cs="Arial"/>
                <w:sz w:val="20"/>
              </w:rPr>
              <w:t>UK or AAA Sovereign</w:t>
            </w:r>
          </w:p>
        </w:tc>
        <w:tc>
          <w:tcPr>
            <w:tcW w:w="1802" w:type="dxa"/>
          </w:tcPr>
          <w:p w:rsidR="007F72D3" w:rsidRPr="005362B9" w:rsidRDefault="007F72D3" w:rsidP="007F72D3">
            <w:pPr>
              <w:numPr>
                <w:ilvl w:val="12"/>
                <w:numId w:val="0"/>
              </w:numPr>
              <w:tabs>
                <w:tab w:val="left" w:pos="360"/>
              </w:tabs>
              <w:jc w:val="center"/>
              <w:rPr>
                <w:rFonts w:cs="Arial"/>
                <w:sz w:val="20"/>
              </w:rPr>
            </w:pPr>
            <w:r w:rsidRPr="005362B9">
              <w:rPr>
                <w:rFonts w:cs="Arial"/>
                <w:sz w:val="20"/>
              </w:rPr>
              <w:t>In-house</w:t>
            </w:r>
          </w:p>
        </w:tc>
      </w:tr>
      <w:tr w:rsidR="007F72D3" w:rsidRPr="005362B9" w:rsidTr="008C25BC">
        <w:trPr>
          <w:trHeight w:val="227"/>
        </w:trPr>
        <w:tc>
          <w:tcPr>
            <w:tcW w:w="3755" w:type="dxa"/>
          </w:tcPr>
          <w:p w:rsidR="007F72D3" w:rsidRDefault="007F72D3" w:rsidP="007F72D3">
            <w:pPr>
              <w:numPr>
                <w:ilvl w:val="12"/>
                <w:numId w:val="0"/>
              </w:numPr>
              <w:tabs>
                <w:tab w:val="left" w:pos="360"/>
              </w:tabs>
              <w:rPr>
                <w:rFonts w:cs="Arial"/>
                <w:sz w:val="20"/>
              </w:rPr>
            </w:pPr>
            <w:r w:rsidRPr="005362B9">
              <w:rPr>
                <w:rFonts w:cs="Arial"/>
                <w:sz w:val="20"/>
              </w:rPr>
              <w:t>Money Market Funds</w:t>
            </w:r>
          </w:p>
          <w:p w:rsidR="00D04BF5" w:rsidRPr="005362B9" w:rsidRDefault="00D04BF5" w:rsidP="007F72D3">
            <w:pPr>
              <w:numPr>
                <w:ilvl w:val="12"/>
                <w:numId w:val="0"/>
              </w:numPr>
              <w:tabs>
                <w:tab w:val="left" w:pos="360"/>
              </w:tabs>
              <w:rPr>
                <w:rFonts w:cs="Arial"/>
                <w:sz w:val="20"/>
              </w:rPr>
            </w:pPr>
            <w:r>
              <w:rPr>
                <w:rFonts w:cs="Arial"/>
                <w:sz w:val="20"/>
              </w:rPr>
              <w:t xml:space="preserve">(CNAV), (LVNAV) and (VNAV) </w:t>
            </w:r>
          </w:p>
        </w:tc>
        <w:tc>
          <w:tcPr>
            <w:tcW w:w="2500" w:type="dxa"/>
          </w:tcPr>
          <w:p w:rsidR="007F72D3" w:rsidRPr="005362B9" w:rsidRDefault="007F72D3" w:rsidP="007F72D3">
            <w:pPr>
              <w:numPr>
                <w:ilvl w:val="12"/>
                <w:numId w:val="0"/>
              </w:numPr>
              <w:tabs>
                <w:tab w:val="left" w:pos="360"/>
              </w:tabs>
              <w:jc w:val="center"/>
              <w:rPr>
                <w:rFonts w:cs="Arial"/>
                <w:sz w:val="20"/>
              </w:rPr>
            </w:pPr>
            <w:r w:rsidRPr="005362B9">
              <w:rPr>
                <w:rFonts w:cs="Arial"/>
                <w:sz w:val="20"/>
              </w:rPr>
              <w:t>AAA</w:t>
            </w:r>
          </w:p>
        </w:tc>
        <w:tc>
          <w:tcPr>
            <w:tcW w:w="1802" w:type="dxa"/>
          </w:tcPr>
          <w:p w:rsidR="007F72D3" w:rsidRPr="005362B9" w:rsidRDefault="007F72D3" w:rsidP="007F72D3">
            <w:pPr>
              <w:numPr>
                <w:ilvl w:val="12"/>
                <w:numId w:val="0"/>
              </w:numPr>
              <w:tabs>
                <w:tab w:val="left" w:pos="360"/>
              </w:tabs>
              <w:jc w:val="center"/>
              <w:rPr>
                <w:rFonts w:cs="Arial"/>
                <w:sz w:val="20"/>
              </w:rPr>
            </w:pPr>
            <w:r w:rsidRPr="005362B9">
              <w:rPr>
                <w:rFonts w:cs="Arial"/>
                <w:sz w:val="20"/>
              </w:rPr>
              <w:t>In-house</w:t>
            </w:r>
          </w:p>
        </w:tc>
      </w:tr>
    </w:tbl>
    <w:p w:rsidR="007F72D3" w:rsidRPr="005362B9" w:rsidRDefault="007F72D3" w:rsidP="007F72D3">
      <w:pPr>
        <w:jc w:val="both"/>
        <w:rPr>
          <w:rFonts w:cs="Arial"/>
          <w:bCs/>
        </w:rPr>
      </w:pPr>
    </w:p>
    <w:p w:rsidR="007F72D3" w:rsidRPr="005362B9" w:rsidRDefault="007F72D3" w:rsidP="007F72D3">
      <w:pPr>
        <w:tabs>
          <w:tab w:val="num" w:pos="2160"/>
        </w:tabs>
        <w:spacing w:line="240" w:lineRule="exact"/>
        <w:ind w:left="561" w:hanging="561"/>
        <w:jc w:val="both"/>
        <w:rPr>
          <w:rFonts w:cs="Arial"/>
          <w:b/>
          <w:bCs/>
        </w:rPr>
      </w:pPr>
      <w:r w:rsidRPr="005362B9">
        <w:rPr>
          <w:rFonts w:cs="Arial"/>
          <w:b/>
          <w:bCs/>
        </w:rPr>
        <w:t>Non-Specified Investments</w:t>
      </w:r>
    </w:p>
    <w:p w:rsidR="007F72D3" w:rsidRPr="005362B9" w:rsidRDefault="007F72D3" w:rsidP="00F47D2E">
      <w:pPr>
        <w:autoSpaceDE w:val="0"/>
        <w:autoSpaceDN w:val="0"/>
        <w:adjustRightInd w:val="0"/>
        <w:jc w:val="both"/>
        <w:rPr>
          <w:rFonts w:cs="Arial"/>
          <w:szCs w:val="24"/>
          <w:lang w:eastAsia="en-GB"/>
        </w:rPr>
      </w:pPr>
      <w:r w:rsidRPr="005362B9">
        <w:rPr>
          <w:rFonts w:cs="Arial"/>
          <w:szCs w:val="24"/>
          <w:lang w:eastAsia="en-GB"/>
        </w:rPr>
        <w:t>Non-specified investments are any other type of investment (i.e. not defined as Specified above).They normally offer the prospect of higher returns but carry a higher risk. The identification and rationale supporting the selection of these other investments are set out in the table below.</w:t>
      </w:r>
    </w:p>
    <w:p w:rsidR="008C25BC" w:rsidRPr="005362B9" w:rsidRDefault="008C25BC" w:rsidP="00F47D2E">
      <w:pPr>
        <w:autoSpaceDE w:val="0"/>
        <w:autoSpaceDN w:val="0"/>
        <w:adjustRightInd w:val="0"/>
        <w:jc w:val="both"/>
        <w:rPr>
          <w:rFonts w:cs="Arial"/>
          <w:szCs w:val="24"/>
          <w:lang w:eastAsia="en-GB"/>
        </w:rPr>
      </w:pPr>
    </w:p>
    <w:p w:rsidR="007F72D3" w:rsidRPr="00007E2C" w:rsidRDefault="007F72D3" w:rsidP="007F72D3">
      <w:pPr>
        <w:autoSpaceDE w:val="0"/>
        <w:autoSpaceDN w:val="0"/>
        <w:adjustRightInd w:val="0"/>
        <w:rPr>
          <w:b/>
          <w:szCs w:val="24"/>
        </w:rPr>
      </w:pPr>
      <w:r w:rsidRPr="00007E2C">
        <w:rPr>
          <w:b/>
          <w:szCs w:val="24"/>
        </w:rPr>
        <w:t>Table 1</w:t>
      </w:r>
      <w:r w:rsidR="001D7DC7">
        <w:rPr>
          <w:b/>
          <w:szCs w:val="24"/>
        </w:rPr>
        <w:t>1</w:t>
      </w:r>
      <w:r w:rsidRPr="00007E2C">
        <w:rPr>
          <w:b/>
          <w:szCs w:val="24"/>
        </w:rPr>
        <w:t xml:space="preserve"> Non - Specified Investments</w:t>
      </w:r>
    </w:p>
    <w:p w:rsidR="007F72D3" w:rsidRPr="005362B9" w:rsidRDefault="007F72D3" w:rsidP="007F72D3">
      <w:pPr>
        <w:autoSpaceDE w:val="0"/>
        <w:autoSpaceDN w:val="0"/>
        <w:adjustRightInd w:val="0"/>
        <w:ind w:left="374"/>
        <w:rPr>
          <w:szCs w:val="24"/>
        </w:rPr>
      </w:pPr>
      <w:r w:rsidRPr="005362B9">
        <w:rPr>
          <w:szCs w:val="24"/>
        </w:rPr>
        <w:t xml:space="preserve"> </w:t>
      </w:r>
    </w:p>
    <w:tbl>
      <w:tblPr>
        <w:tblW w:w="992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1"/>
        <w:gridCol w:w="2618"/>
        <w:gridCol w:w="1188"/>
        <w:gridCol w:w="1617"/>
        <w:gridCol w:w="2069"/>
      </w:tblGrid>
      <w:tr w:rsidR="007F72D3" w:rsidRPr="005362B9" w:rsidTr="00416ACE">
        <w:trPr>
          <w:tblHeader/>
        </w:trPr>
        <w:tc>
          <w:tcPr>
            <w:tcW w:w="2431" w:type="dxa"/>
          </w:tcPr>
          <w:p w:rsidR="007F72D3" w:rsidRPr="005362B9" w:rsidRDefault="007F72D3" w:rsidP="007F72D3">
            <w:pPr>
              <w:keepNext/>
              <w:widowControl w:val="0"/>
              <w:numPr>
                <w:ilvl w:val="12"/>
                <w:numId w:val="0"/>
              </w:numPr>
              <w:tabs>
                <w:tab w:val="left" w:pos="360"/>
              </w:tabs>
              <w:rPr>
                <w:rFonts w:cs="Arial"/>
                <w:b/>
                <w:szCs w:val="18"/>
              </w:rPr>
            </w:pPr>
          </w:p>
        </w:tc>
        <w:tc>
          <w:tcPr>
            <w:tcW w:w="2618" w:type="dxa"/>
          </w:tcPr>
          <w:p w:rsidR="007F72D3" w:rsidRPr="005362B9" w:rsidRDefault="007F72D3" w:rsidP="007F72D3">
            <w:pPr>
              <w:keepNext/>
              <w:widowControl w:val="0"/>
              <w:numPr>
                <w:ilvl w:val="12"/>
                <w:numId w:val="0"/>
              </w:numPr>
              <w:tabs>
                <w:tab w:val="left" w:pos="360"/>
              </w:tabs>
              <w:jc w:val="center"/>
              <w:rPr>
                <w:rFonts w:cs="Arial"/>
                <w:b/>
                <w:szCs w:val="18"/>
              </w:rPr>
            </w:pPr>
            <w:r w:rsidRPr="005362B9">
              <w:rPr>
                <w:rFonts w:cs="Arial"/>
                <w:b/>
                <w:szCs w:val="18"/>
              </w:rPr>
              <w:t>Minimum Credit Criteria</w:t>
            </w:r>
          </w:p>
        </w:tc>
        <w:tc>
          <w:tcPr>
            <w:tcW w:w="1188" w:type="dxa"/>
          </w:tcPr>
          <w:p w:rsidR="007F72D3" w:rsidRPr="005362B9" w:rsidRDefault="007F72D3" w:rsidP="007F72D3">
            <w:pPr>
              <w:keepNext/>
              <w:widowControl w:val="0"/>
              <w:numPr>
                <w:ilvl w:val="12"/>
                <w:numId w:val="0"/>
              </w:numPr>
              <w:tabs>
                <w:tab w:val="left" w:pos="360"/>
              </w:tabs>
              <w:jc w:val="center"/>
              <w:rPr>
                <w:rFonts w:cs="Arial"/>
                <w:b/>
                <w:szCs w:val="18"/>
              </w:rPr>
            </w:pPr>
            <w:r w:rsidRPr="005362B9">
              <w:rPr>
                <w:rFonts w:cs="Arial"/>
                <w:b/>
                <w:szCs w:val="18"/>
              </w:rPr>
              <w:t>Use</w:t>
            </w:r>
          </w:p>
        </w:tc>
        <w:tc>
          <w:tcPr>
            <w:tcW w:w="1617" w:type="dxa"/>
          </w:tcPr>
          <w:p w:rsidR="007F72D3" w:rsidRPr="005362B9" w:rsidRDefault="007F72D3" w:rsidP="007F72D3">
            <w:pPr>
              <w:keepNext/>
              <w:widowControl w:val="0"/>
              <w:numPr>
                <w:ilvl w:val="12"/>
                <w:numId w:val="0"/>
              </w:numPr>
              <w:tabs>
                <w:tab w:val="left" w:pos="360"/>
              </w:tabs>
              <w:jc w:val="center"/>
              <w:rPr>
                <w:rFonts w:cs="Arial"/>
                <w:b/>
                <w:szCs w:val="18"/>
              </w:rPr>
            </w:pPr>
            <w:r w:rsidRPr="005362B9">
              <w:rPr>
                <w:rFonts w:cs="Arial"/>
                <w:b/>
                <w:szCs w:val="18"/>
              </w:rPr>
              <w:t>Max total investment</w:t>
            </w:r>
          </w:p>
        </w:tc>
        <w:tc>
          <w:tcPr>
            <w:tcW w:w="2069" w:type="dxa"/>
          </w:tcPr>
          <w:p w:rsidR="007F72D3" w:rsidRPr="005362B9" w:rsidRDefault="007F72D3" w:rsidP="007F72D3">
            <w:pPr>
              <w:keepNext/>
              <w:widowControl w:val="0"/>
              <w:numPr>
                <w:ilvl w:val="12"/>
                <w:numId w:val="0"/>
              </w:numPr>
              <w:tabs>
                <w:tab w:val="left" w:pos="360"/>
              </w:tabs>
              <w:jc w:val="center"/>
              <w:rPr>
                <w:rFonts w:cs="Arial"/>
                <w:b/>
                <w:szCs w:val="18"/>
              </w:rPr>
            </w:pPr>
            <w:r w:rsidRPr="005362B9">
              <w:rPr>
                <w:rFonts w:cs="Arial"/>
                <w:b/>
                <w:szCs w:val="18"/>
              </w:rPr>
              <w:t>Max. maturity period</w:t>
            </w:r>
          </w:p>
        </w:tc>
      </w:tr>
      <w:tr w:rsidR="007F72D3" w:rsidRPr="005362B9" w:rsidTr="00416ACE">
        <w:tc>
          <w:tcPr>
            <w:tcW w:w="2431" w:type="dxa"/>
          </w:tcPr>
          <w:p w:rsidR="007F72D3" w:rsidRPr="005362B9" w:rsidRDefault="007F72D3" w:rsidP="007F72D3">
            <w:pPr>
              <w:numPr>
                <w:ilvl w:val="12"/>
                <w:numId w:val="0"/>
              </w:numPr>
              <w:tabs>
                <w:tab w:val="left" w:pos="360"/>
              </w:tabs>
              <w:rPr>
                <w:rFonts w:cs="Arial"/>
                <w:sz w:val="20"/>
              </w:rPr>
            </w:pPr>
            <w:r w:rsidRPr="005362B9">
              <w:rPr>
                <w:rFonts w:cs="Arial"/>
                <w:sz w:val="20"/>
              </w:rPr>
              <w:t>Term deposits – banks and building societies (excluding Lloyds / HBOS)</w:t>
            </w:r>
          </w:p>
        </w:tc>
        <w:tc>
          <w:tcPr>
            <w:tcW w:w="2618" w:type="dxa"/>
          </w:tcPr>
          <w:p w:rsidR="007F72D3" w:rsidRPr="005362B9" w:rsidRDefault="007F72D3" w:rsidP="007F72D3">
            <w:pPr>
              <w:numPr>
                <w:ilvl w:val="12"/>
                <w:numId w:val="0"/>
              </w:numPr>
              <w:tabs>
                <w:tab w:val="left" w:pos="360"/>
              </w:tabs>
              <w:jc w:val="center"/>
              <w:rPr>
                <w:rFonts w:cs="Arial"/>
                <w:sz w:val="20"/>
              </w:rPr>
            </w:pPr>
            <w:r w:rsidRPr="005362B9">
              <w:rPr>
                <w:rFonts w:cs="Arial"/>
                <w:sz w:val="20"/>
              </w:rPr>
              <w:t>A Long Term</w:t>
            </w:r>
          </w:p>
          <w:p w:rsidR="007F72D3" w:rsidRPr="005362B9" w:rsidRDefault="007F72D3" w:rsidP="007F72D3">
            <w:pPr>
              <w:numPr>
                <w:ilvl w:val="12"/>
                <w:numId w:val="0"/>
              </w:numPr>
              <w:tabs>
                <w:tab w:val="left" w:pos="360"/>
              </w:tabs>
              <w:jc w:val="center"/>
              <w:rPr>
                <w:rFonts w:cs="Arial"/>
                <w:sz w:val="20"/>
              </w:rPr>
            </w:pPr>
            <w:r w:rsidRPr="005362B9">
              <w:rPr>
                <w:rFonts w:cs="Arial"/>
                <w:sz w:val="20"/>
              </w:rPr>
              <w:t>F1 Short-term</w:t>
            </w:r>
          </w:p>
          <w:p w:rsidR="007F72D3" w:rsidRPr="005362B9" w:rsidRDefault="007F72D3" w:rsidP="007F72D3">
            <w:pPr>
              <w:numPr>
                <w:ilvl w:val="12"/>
                <w:numId w:val="0"/>
              </w:numPr>
              <w:tabs>
                <w:tab w:val="left" w:pos="360"/>
              </w:tabs>
              <w:jc w:val="center"/>
              <w:rPr>
                <w:rFonts w:cs="Arial"/>
                <w:sz w:val="20"/>
              </w:rPr>
            </w:pPr>
            <w:r w:rsidRPr="005362B9">
              <w:rPr>
                <w:rFonts w:cs="Arial"/>
                <w:sz w:val="20"/>
              </w:rPr>
              <w:t>UK or AAA Sovereign</w:t>
            </w:r>
          </w:p>
        </w:tc>
        <w:tc>
          <w:tcPr>
            <w:tcW w:w="1188" w:type="dxa"/>
            <w:vAlign w:val="center"/>
          </w:tcPr>
          <w:p w:rsidR="007F72D3" w:rsidRPr="005362B9" w:rsidRDefault="007F72D3" w:rsidP="007F72D3">
            <w:pPr>
              <w:numPr>
                <w:ilvl w:val="12"/>
                <w:numId w:val="0"/>
              </w:numPr>
              <w:tabs>
                <w:tab w:val="left" w:pos="360"/>
              </w:tabs>
              <w:jc w:val="center"/>
              <w:rPr>
                <w:rFonts w:cs="Arial"/>
                <w:sz w:val="20"/>
              </w:rPr>
            </w:pPr>
            <w:r w:rsidRPr="005362B9">
              <w:rPr>
                <w:rFonts w:cs="Arial"/>
                <w:sz w:val="20"/>
              </w:rPr>
              <w:t>In-house</w:t>
            </w:r>
          </w:p>
        </w:tc>
        <w:tc>
          <w:tcPr>
            <w:tcW w:w="1617" w:type="dxa"/>
            <w:vAlign w:val="center"/>
          </w:tcPr>
          <w:p w:rsidR="007F72D3" w:rsidRPr="005362B9" w:rsidRDefault="007F72D3" w:rsidP="007F72D3">
            <w:pPr>
              <w:numPr>
                <w:ilvl w:val="12"/>
                <w:numId w:val="0"/>
              </w:numPr>
              <w:tabs>
                <w:tab w:val="left" w:pos="360"/>
              </w:tabs>
              <w:jc w:val="center"/>
              <w:rPr>
                <w:rFonts w:cs="Arial"/>
                <w:sz w:val="20"/>
              </w:rPr>
            </w:pPr>
            <w:r w:rsidRPr="005362B9">
              <w:rPr>
                <w:rFonts w:cs="Arial"/>
                <w:sz w:val="20"/>
              </w:rPr>
              <w:t>50%</w:t>
            </w:r>
          </w:p>
        </w:tc>
        <w:tc>
          <w:tcPr>
            <w:tcW w:w="2069" w:type="dxa"/>
            <w:vAlign w:val="center"/>
          </w:tcPr>
          <w:p w:rsidR="007F72D3" w:rsidRPr="005362B9" w:rsidRDefault="007F72D3" w:rsidP="007F72D3">
            <w:pPr>
              <w:numPr>
                <w:ilvl w:val="12"/>
                <w:numId w:val="0"/>
              </w:numPr>
              <w:tabs>
                <w:tab w:val="left" w:pos="360"/>
              </w:tabs>
              <w:jc w:val="center"/>
              <w:rPr>
                <w:rFonts w:cs="Arial"/>
                <w:sz w:val="20"/>
              </w:rPr>
            </w:pPr>
            <w:r w:rsidRPr="005362B9">
              <w:rPr>
                <w:rFonts w:cs="Arial"/>
                <w:sz w:val="20"/>
              </w:rPr>
              <w:t>3 months</w:t>
            </w:r>
          </w:p>
        </w:tc>
      </w:tr>
      <w:tr w:rsidR="007F72D3" w:rsidRPr="005362B9" w:rsidTr="00416ACE">
        <w:tc>
          <w:tcPr>
            <w:tcW w:w="2431" w:type="dxa"/>
          </w:tcPr>
          <w:p w:rsidR="007F72D3" w:rsidRPr="005362B9" w:rsidRDefault="007F72D3" w:rsidP="007F72D3">
            <w:pPr>
              <w:numPr>
                <w:ilvl w:val="12"/>
                <w:numId w:val="0"/>
              </w:numPr>
              <w:tabs>
                <w:tab w:val="left" w:pos="360"/>
              </w:tabs>
              <w:rPr>
                <w:rFonts w:cs="Arial"/>
                <w:sz w:val="20"/>
              </w:rPr>
            </w:pPr>
            <w:r w:rsidRPr="005362B9">
              <w:rPr>
                <w:rFonts w:cs="Arial"/>
                <w:sz w:val="20"/>
              </w:rPr>
              <w:t>Lloyds / HBOS</w:t>
            </w:r>
          </w:p>
        </w:tc>
        <w:tc>
          <w:tcPr>
            <w:tcW w:w="2618" w:type="dxa"/>
          </w:tcPr>
          <w:p w:rsidR="007F72D3" w:rsidRPr="005362B9" w:rsidRDefault="007F72D3" w:rsidP="007F72D3">
            <w:pPr>
              <w:numPr>
                <w:ilvl w:val="12"/>
                <w:numId w:val="0"/>
              </w:numPr>
              <w:tabs>
                <w:tab w:val="left" w:pos="360"/>
              </w:tabs>
              <w:jc w:val="center"/>
              <w:rPr>
                <w:rFonts w:cs="Arial"/>
                <w:sz w:val="20"/>
              </w:rPr>
            </w:pPr>
            <w:r w:rsidRPr="005362B9">
              <w:rPr>
                <w:rFonts w:cs="Arial"/>
                <w:sz w:val="20"/>
              </w:rPr>
              <w:t>A Long Term</w:t>
            </w:r>
          </w:p>
          <w:p w:rsidR="007F72D3" w:rsidRPr="005362B9" w:rsidRDefault="007F72D3" w:rsidP="007F72D3">
            <w:pPr>
              <w:numPr>
                <w:ilvl w:val="12"/>
                <w:numId w:val="0"/>
              </w:numPr>
              <w:tabs>
                <w:tab w:val="left" w:pos="360"/>
              </w:tabs>
              <w:jc w:val="center"/>
              <w:rPr>
                <w:rFonts w:cs="Arial"/>
                <w:sz w:val="20"/>
              </w:rPr>
            </w:pPr>
            <w:r w:rsidRPr="005362B9">
              <w:rPr>
                <w:rFonts w:cs="Arial"/>
                <w:sz w:val="20"/>
              </w:rPr>
              <w:t>F1 Short-term</w:t>
            </w:r>
          </w:p>
        </w:tc>
        <w:tc>
          <w:tcPr>
            <w:tcW w:w="1188" w:type="dxa"/>
            <w:vAlign w:val="center"/>
          </w:tcPr>
          <w:p w:rsidR="007F72D3" w:rsidRPr="005362B9" w:rsidRDefault="007F72D3" w:rsidP="007F72D3">
            <w:pPr>
              <w:numPr>
                <w:ilvl w:val="12"/>
                <w:numId w:val="0"/>
              </w:numPr>
              <w:tabs>
                <w:tab w:val="left" w:pos="360"/>
              </w:tabs>
              <w:jc w:val="center"/>
              <w:rPr>
                <w:rFonts w:cs="Arial"/>
                <w:sz w:val="20"/>
              </w:rPr>
            </w:pPr>
            <w:r w:rsidRPr="005362B9">
              <w:rPr>
                <w:rFonts w:cs="Arial"/>
                <w:sz w:val="20"/>
              </w:rPr>
              <w:t>In-house</w:t>
            </w:r>
          </w:p>
        </w:tc>
        <w:tc>
          <w:tcPr>
            <w:tcW w:w="1617" w:type="dxa"/>
            <w:vAlign w:val="center"/>
          </w:tcPr>
          <w:p w:rsidR="007F72D3" w:rsidRPr="005362B9" w:rsidRDefault="007F72D3" w:rsidP="007F72D3">
            <w:pPr>
              <w:numPr>
                <w:ilvl w:val="12"/>
                <w:numId w:val="0"/>
              </w:numPr>
              <w:tabs>
                <w:tab w:val="left" w:pos="360"/>
              </w:tabs>
              <w:jc w:val="center"/>
              <w:rPr>
                <w:rFonts w:cs="Arial"/>
                <w:sz w:val="20"/>
              </w:rPr>
            </w:pPr>
            <w:r w:rsidRPr="005362B9">
              <w:rPr>
                <w:rFonts w:cs="Arial"/>
                <w:sz w:val="20"/>
              </w:rPr>
              <w:t>50%</w:t>
            </w:r>
          </w:p>
        </w:tc>
        <w:tc>
          <w:tcPr>
            <w:tcW w:w="2069" w:type="dxa"/>
            <w:vAlign w:val="center"/>
          </w:tcPr>
          <w:p w:rsidR="007F72D3" w:rsidRPr="005362B9" w:rsidRDefault="007F72D3" w:rsidP="007F72D3">
            <w:pPr>
              <w:numPr>
                <w:ilvl w:val="12"/>
                <w:numId w:val="0"/>
              </w:numPr>
              <w:tabs>
                <w:tab w:val="left" w:pos="360"/>
              </w:tabs>
              <w:jc w:val="center"/>
              <w:rPr>
                <w:rFonts w:cs="Arial"/>
                <w:sz w:val="20"/>
              </w:rPr>
            </w:pPr>
            <w:r w:rsidRPr="005362B9">
              <w:rPr>
                <w:rFonts w:cs="Arial"/>
                <w:sz w:val="20"/>
              </w:rPr>
              <w:t>6 months</w:t>
            </w:r>
          </w:p>
        </w:tc>
      </w:tr>
      <w:tr w:rsidR="007F72D3" w:rsidRPr="005362B9" w:rsidTr="00416ACE">
        <w:tc>
          <w:tcPr>
            <w:tcW w:w="2431" w:type="dxa"/>
          </w:tcPr>
          <w:p w:rsidR="007F72D3" w:rsidRPr="005362B9" w:rsidRDefault="007F72D3" w:rsidP="007F72D3">
            <w:pPr>
              <w:numPr>
                <w:ilvl w:val="12"/>
                <w:numId w:val="0"/>
              </w:numPr>
              <w:tabs>
                <w:tab w:val="left" w:pos="360"/>
              </w:tabs>
              <w:rPr>
                <w:rFonts w:cs="Arial"/>
                <w:sz w:val="20"/>
              </w:rPr>
            </w:pPr>
            <w:r w:rsidRPr="005362B9">
              <w:rPr>
                <w:rFonts w:cs="Arial"/>
                <w:sz w:val="20"/>
              </w:rPr>
              <w:t>Callable Deposits</w:t>
            </w:r>
          </w:p>
        </w:tc>
        <w:tc>
          <w:tcPr>
            <w:tcW w:w="2618" w:type="dxa"/>
          </w:tcPr>
          <w:p w:rsidR="007F72D3" w:rsidRPr="005362B9" w:rsidRDefault="007F72D3" w:rsidP="007F72D3">
            <w:pPr>
              <w:numPr>
                <w:ilvl w:val="12"/>
                <w:numId w:val="0"/>
              </w:numPr>
              <w:tabs>
                <w:tab w:val="left" w:pos="360"/>
              </w:tabs>
              <w:jc w:val="center"/>
              <w:rPr>
                <w:rFonts w:cs="Arial"/>
                <w:sz w:val="20"/>
              </w:rPr>
            </w:pPr>
            <w:r w:rsidRPr="005362B9">
              <w:rPr>
                <w:rFonts w:cs="Arial"/>
                <w:sz w:val="20"/>
              </w:rPr>
              <w:t>A Long Term</w:t>
            </w:r>
          </w:p>
          <w:p w:rsidR="007F72D3" w:rsidRPr="005362B9" w:rsidRDefault="007F72D3" w:rsidP="007F72D3">
            <w:pPr>
              <w:numPr>
                <w:ilvl w:val="12"/>
                <w:numId w:val="0"/>
              </w:numPr>
              <w:tabs>
                <w:tab w:val="left" w:pos="360"/>
              </w:tabs>
              <w:jc w:val="center"/>
              <w:rPr>
                <w:rFonts w:cs="Arial"/>
                <w:sz w:val="20"/>
              </w:rPr>
            </w:pPr>
            <w:r w:rsidRPr="005362B9">
              <w:rPr>
                <w:rFonts w:cs="Arial"/>
                <w:sz w:val="20"/>
              </w:rPr>
              <w:t>F1 Short term</w:t>
            </w:r>
          </w:p>
        </w:tc>
        <w:tc>
          <w:tcPr>
            <w:tcW w:w="1188" w:type="dxa"/>
            <w:vAlign w:val="center"/>
          </w:tcPr>
          <w:p w:rsidR="007F72D3" w:rsidRPr="005362B9" w:rsidRDefault="007F72D3" w:rsidP="007F72D3">
            <w:pPr>
              <w:numPr>
                <w:ilvl w:val="12"/>
                <w:numId w:val="0"/>
              </w:numPr>
              <w:tabs>
                <w:tab w:val="left" w:pos="360"/>
              </w:tabs>
              <w:jc w:val="center"/>
              <w:rPr>
                <w:rFonts w:cs="Arial"/>
                <w:sz w:val="20"/>
              </w:rPr>
            </w:pPr>
            <w:r w:rsidRPr="005362B9">
              <w:rPr>
                <w:rFonts w:cs="Arial"/>
                <w:sz w:val="20"/>
              </w:rPr>
              <w:t>In-house</w:t>
            </w:r>
          </w:p>
        </w:tc>
        <w:tc>
          <w:tcPr>
            <w:tcW w:w="1617" w:type="dxa"/>
            <w:vAlign w:val="center"/>
          </w:tcPr>
          <w:p w:rsidR="007F72D3" w:rsidRPr="005362B9" w:rsidRDefault="007F72D3" w:rsidP="007F72D3">
            <w:pPr>
              <w:numPr>
                <w:ilvl w:val="12"/>
                <w:numId w:val="0"/>
              </w:numPr>
              <w:tabs>
                <w:tab w:val="left" w:pos="360"/>
              </w:tabs>
              <w:jc w:val="center"/>
              <w:rPr>
                <w:rFonts w:cs="Arial"/>
                <w:sz w:val="20"/>
              </w:rPr>
            </w:pPr>
            <w:r w:rsidRPr="005362B9">
              <w:rPr>
                <w:rFonts w:cs="Arial"/>
                <w:sz w:val="20"/>
              </w:rPr>
              <w:t>20%</w:t>
            </w:r>
          </w:p>
        </w:tc>
        <w:tc>
          <w:tcPr>
            <w:tcW w:w="2069" w:type="dxa"/>
            <w:vAlign w:val="center"/>
          </w:tcPr>
          <w:p w:rsidR="007F72D3" w:rsidRPr="005362B9" w:rsidRDefault="007F72D3" w:rsidP="007F72D3">
            <w:pPr>
              <w:numPr>
                <w:ilvl w:val="12"/>
                <w:numId w:val="0"/>
              </w:numPr>
              <w:tabs>
                <w:tab w:val="left" w:pos="360"/>
              </w:tabs>
              <w:jc w:val="center"/>
              <w:rPr>
                <w:rFonts w:cs="Arial"/>
                <w:sz w:val="20"/>
              </w:rPr>
            </w:pPr>
            <w:r w:rsidRPr="005362B9">
              <w:rPr>
                <w:rFonts w:cs="Arial"/>
                <w:sz w:val="20"/>
              </w:rPr>
              <w:t>3 months</w:t>
            </w:r>
          </w:p>
        </w:tc>
      </w:tr>
      <w:tr w:rsidR="007F72D3" w:rsidRPr="005362B9" w:rsidTr="00416ACE">
        <w:tc>
          <w:tcPr>
            <w:tcW w:w="2431" w:type="dxa"/>
          </w:tcPr>
          <w:p w:rsidR="007F72D3" w:rsidRPr="005362B9" w:rsidRDefault="007F72D3" w:rsidP="007F72D3">
            <w:pPr>
              <w:numPr>
                <w:ilvl w:val="12"/>
                <w:numId w:val="0"/>
              </w:numPr>
              <w:tabs>
                <w:tab w:val="left" w:pos="360"/>
              </w:tabs>
              <w:rPr>
                <w:rFonts w:cs="Arial"/>
                <w:sz w:val="20"/>
              </w:rPr>
            </w:pPr>
            <w:r w:rsidRPr="005362B9">
              <w:rPr>
                <w:rFonts w:cs="Arial"/>
                <w:sz w:val="20"/>
              </w:rPr>
              <w:t>UK nationalised Banks [RBS]</w:t>
            </w:r>
          </w:p>
        </w:tc>
        <w:tc>
          <w:tcPr>
            <w:tcW w:w="2618" w:type="dxa"/>
          </w:tcPr>
          <w:p w:rsidR="007F72D3" w:rsidRPr="005362B9" w:rsidRDefault="007F72D3" w:rsidP="007F72D3">
            <w:pPr>
              <w:numPr>
                <w:ilvl w:val="12"/>
                <w:numId w:val="0"/>
              </w:numPr>
              <w:tabs>
                <w:tab w:val="left" w:pos="360"/>
              </w:tabs>
              <w:jc w:val="center"/>
              <w:rPr>
                <w:rFonts w:cs="Arial"/>
                <w:sz w:val="20"/>
              </w:rPr>
            </w:pPr>
            <w:r w:rsidRPr="005362B9">
              <w:rPr>
                <w:rFonts w:cs="Arial"/>
                <w:sz w:val="20"/>
              </w:rPr>
              <w:t xml:space="preserve">F2 Short-term </w:t>
            </w:r>
          </w:p>
        </w:tc>
        <w:tc>
          <w:tcPr>
            <w:tcW w:w="1188" w:type="dxa"/>
            <w:vAlign w:val="center"/>
          </w:tcPr>
          <w:p w:rsidR="007F72D3" w:rsidRPr="005362B9" w:rsidRDefault="007F72D3" w:rsidP="007F72D3">
            <w:pPr>
              <w:numPr>
                <w:ilvl w:val="12"/>
                <w:numId w:val="0"/>
              </w:numPr>
              <w:tabs>
                <w:tab w:val="left" w:pos="360"/>
              </w:tabs>
              <w:jc w:val="center"/>
              <w:rPr>
                <w:rFonts w:cs="Arial"/>
                <w:sz w:val="20"/>
              </w:rPr>
            </w:pPr>
            <w:r w:rsidRPr="005362B9">
              <w:rPr>
                <w:rFonts w:cs="Arial"/>
                <w:sz w:val="20"/>
              </w:rPr>
              <w:t>In-house</w:t>
            </w:r>
          </w:p>
        </w:tc>
        <w:tc>
          <w:tcPr>
            <w:tcW w:w="1617" w:type="dxa"/>
            <w:vAlign w:val="center"/>
          </w:tcPr>
          <w:p w:rsidR="007F72D3" w:rsidRPr="005362B9" w:rsidRDefault="007F72D3" w:rsidP="007F72D3">
            <w:pPr>
              <w:numPr>
                <w:ilvl w:val="12"/>
                <w:numId w:val="0"/>
              </w:numPr>
              <w:tabs>
                <w:tab w:val="left" w:pos="360"/>
              </w:tabs>
              <w:jc w:val="center"/>
              <w:rPr>
                <w:rFonts w:cs="Arial"/>
                <w:sz w:val="20"/>
              </w:rPr>
            </w:pPr>
            <w:r w:rsidRPr="005362B9">
              <w:rPr>
                <w:rFonts w:cs="Arial"/>
                <w:sz w:val="20"/>
              </w:rPr>
              <w:t>60%</w:t>
            </w:r>
          </w:p>
        </w:tc>
        <w:tc>
          <w:tcPr>
            <w:tcW w:w="2069" w:type="dxa"/>
            <w:vAlign w:val="center"/>
          </w:tcPr>
          <w:p w:rsidR="007F72D3" w:rsidRPr="005362B9" w:rsidRDefault="007F72D3" w:rsidP="007F72D3">
            <w:pPr>
              <w:numPr>
                <w:ilvl w:val="12"/>
                <w:numId w:val="0"/>
              </w:numPr>
              <w:tabs>
                <w:tab w:val="left" w:pos="360"/>
              </w:tabs>
              <w:jc w:val="center"/>
              <w:rPr>
                <w:rFonts w:cs="Arial"/>
                <w:sz w:val="20"/>
              </w:rPr>
            </w:pPr>
            <w:r w:rsidRPr="005362B9">
              <w:rPr>
                <w:rFonts w:cs="Arial"/>
                <w:sz w:val="20"/>
              </w:rPr>
              <w:t>36 months</w:t>
            </w:r>
          </w:p>
        </w:tc>
      </w:tr>
      <w:tr w:rsidR="007F72D3" w:rsidRPr="005362B9" w:rsidTr="00416ACE">
        <w:tc>
          <w:tcPr>
            <w:tcW w:w="2431" w:type="dxa"/>
          </w:tcPr>
          <w:p w:rsidR="007F72D3" w:rsidRPr="005362B9" w:rsidRDefault="007F72D3" w:rsidP="007F72D3">
            <w:pPr>
              <w:numPr>
                <w:ilvl w:val="12"/>
                <w:numId w:val="0"/>
              </w:numPr>
              <w:tabs>
                <w:tab w:val="left" w:pos="360"/>
              </w:tabs>
              <w:rPr>
                <w:rFonts w:cs="Arial"/>
                <w:sz w:val="20"/>
              </w:rPr>
            </w:pPr>
            <w:r w:rsidRPr="005362B9">
              <w:rPr>
                <w:rFonts w:cs="Arial"/>
                <w:sz w:val="20"/>
              </w:rPr>
              <w:t>Enhanced Cash Funds</w:t>
            </w:r>
          </w:p>
        </w:tc>
        <w:tc>
          <w:tcPr>
            <w:tcW w:w="2618" w:type="dxa"/>
          </w:tcPr>
          <w:p w:rsidR="007F72D3" w:rsidRPr="005362B9" w:rsidRDefault="007F72D3" w:rsidP="007F72D3">
            <w:pPr>
              <w:numPr>
                <w:ilvl w:val="12"/>
                <w:numId w:val="0"/>
              </w:numPr>
              <w:tabs>
                <w:tab w:val="left" w:pos="360"/>
              </w:tabs>
              <w:jc w:val="center"/>
              <w:rPr>
                <w:rFonts w:cs="Arial"/>
                <w:sz w:val="20"/>
              </w:rPr>
            </w:pPr>
            <w:r w:rsidRPr="005362B9">
              <w:rPr>
                <w:rFonts w:cs="Arial"/>
                <w:sz w:val="20"/>
              </w:rPr>
              <w:t>AAA</w:t>
            </w:r>
          </w:p>
          <w:p w:rsidR="007F72D3" w:rsidRPr="005362B9" w:rsidRDefault="007F72D3" w:rsidP="007F72D3">
            <w:pPr>
              <w:numPr>
                <w:ilvl w:val="12"/>
                <w:numId w:val="0"/>
              </w:numPr>
              <w:tabs>
                <w:tab w:val="left" w:pos="360"/>
              </w:tabs>
              <w:jc w:val="center"/>
              <w:rPr>
                <w:rFonts w:cs="Arial"/>
                <w:sz w:val="20"/>
              </w:rPr>
            </w:pPr>
          </w:p>
        </w:tc>
        <w:tc>
          <w:tcPr>
            <w:tcW w:w="1188" w:type="dxa"/>
            <w:vAlign w:val="center"/>
          </w:tcPr>
          <w:p w:rsidR="007F72D3" w:rsidRPr="005362B9" w:rsidRDefault="007F72D3" w:rsidP="007F72D3">
            <w:pPr>
              <w:numPr>
                <w:ilvl w:val="12"/>
                <w:numId w:val="0"/>
              </w:numPr>
              <w:tabs>
                <w:tab w:val="left" w:pos="360"/>
              </w:tabs>
              <w:jc w:val="center"/>
              <w:rPr>
                <w:rFonts w:cs="Arial"/>
                <w:sz w:val="20"/>
              </w:rPr>
            </w:pPr>
            <w:r w:rsidRPr="005362B9">
              <w:rPr>
                <w:rFonts w:cs="Arial"/>
                <w:sz w:val="20"/>
              </w:rPr>
              <w:t>In-house</w:t>
            </w:r>
          </w:p>
        </w:tc>
        <w:tc>
          <w:tcPr>
            <w:tcW w:w="1617" w:type="dxa"/>
            <w:vAlign w:val="center"/>
          </w:tcPr>
          <w:p w:rsidR="007F72D3" w:rsidRPr="005362B9" w:rsidRDefault="007F72D3" w:rsidP="007F72D3">
            <w:pPr>
              <w:numPr>
                <w:ilvl w:val="12"/>
                <w:numId w:val="0"/>
              </w:numPr>
              <w:tabs>
                <w:tab w:val="left" w:pos="360"/>
              </w:tabs>
              <w:jc w:val="center"/>
              <w:rPr>
                <w:rFonts w:cs="Arial"/>
                <w:sz w:val="20"/>
              </w:rPr>
            </w:pPr>
            <w:r w:rsidRPr="005362B9">
              <w:rPr>
                <w:rFonts w:cs="Arial"/>
                <w:sz w:val="20"/>
              </w:rPr>
              <w:t>25%</w:t>
            </w:r>
          </w:p>
          <w:p w:rsidR="007F72D3" w:rsidRPr="005362B9" w:rsidRDefault="007F72D3" w:rsidP="007F72D3">
            <w:pPr>
              <w:numPr>
                <w:ilvl w:val="12"/>
                <w:numId w:val="0"/>
              </w:numPr>
              <w:tabs>
                <w:tab w:val="left" w:pos="360"/>
              </w:tabs>
              <w:jc w:val="center"/>
              <w:rPr>
                <w:rFonts w:cs="Arial"/>
                <w:sz w:val="20"/>
              </w:rPr>
            </w:pPr>
            <w:r w:rsidRPr="005362B9">
              <w:rPr>
                <w:rFonts w:cs="Arial"/>
                <w:sz w:val="20"/>
              </w:rPr>
              <w:t>(maximum £10 million per fund)</w:t>
            </w:r>
          </w:p>
        </w:tc>
        <w:tc>
          <w:tcPr>
            <w:tcW w:w="2069" w:type="dxa"/>
            <w:vAlign w:val="center"/>
          </w:tcPr>
          <w:p w:rsidR="007F72D3" w:rsidRPr="005362B9" w:rsidRDefault="007F72D3" w:rsidP="007F72D3">
            <w:pPr>
              <w:numPr>
                <w:ilvl w:val="12"/>
                <w:numId w:val="0"/>
              </w:numPr>
              <w:tabs>
                <w:tab w:val="left" w:pos="360"/>
              </w:tabs>
              <w:ind w:right="-108"/>
              <w:jc w:val="center"/>
              <w:rPr>
                <w:rFonts w:cs="Arial"/>
                <w:sz w:val="20"/>
              </w:rPr>
            </w:pPr>
            <w:r w:rsidRPr="005362B9">
              <w:rPr>
                <w:rFonts w:cs="Arial"/>
                <w:sz w:val="20"/>
              </w:rPr>
              <w:t>Minimum monthly redemption</w:t>
            </w:r>
          </w:p>
          <w:p w:rsidR="007F72D3" w:rsidRPr="005362B9" w:rsidRDefault="007F72D3" w:rsidP="007F72D3">
            <w:pPr>
              <w:numPr>
                <w:ilvl w:val="12"/>
                <w:numId w:val="0"/>
              </w:numPr>
              <w:tabs>
                <w:tab w:val="left" w:pos="360"/>
              </w:tabs>
              <w:jc w:val="center"/>
              <w:rPr>
                <w:rFonts w:cs="Arial"/>
                <w:sz w:val="20"/>
              </w:rPr>
            </w:pPr>
          </w:p>
        </w:tc>
      </w:tr>
      <w:tr w:rsidR="007F72D3" w:rsidRPr="005362B9" w:rsidTr="00416ACE">
        <w:tc>
          <w:tcPr>
            <w:tcW w:w="2431" w:type="dxa"/>
          </w:tcPr>
          <w:p w:rsidR="007F72D3" w:rsidRPr="005362B9" w:rsidRDefault="007F72D3" w:rsidP="007F72D3">
            <w:pPr>
              <w:numPr>
                <w:ilvl w:val="12"/>
                <w:numId w:val="0"/>
              </w:numPr>
              <w:tabs>
                <w:tab w:val="left" w:pos="360"/>
              </w:tabs>
              <w:rPr>
                <w:rFonts w:cs="Arial"/>
                <w:sz w:val="20"/>
              </w:rPr>
            </w:pPr>
            <w:r w:rsidRPr="005362B9">
              <w:rPr>
                <w:rFonts w:cs="Arial"/>
                <w:sz w:val="20"/>
              </w:rPr>
              <w:t xml:space="preserve">Corporate bonds pooled funds, other non-standard investments and gilts </w:t>
            </w:r>
          </w:p>
        </w:tc>
        <w:tc>
          <w:tcPr>
            <w:tcW w:w="2618" w:type="dxa"/>
          </w:tcPr>
          <w:p w:rsidR="007F72D3" w:rsidRPr="005362B9" w:rsidRDefault="007F72D3" w:rsidP="007F72D3">
            <w:pPr>
              <w:numPr>
                <w:ilvl w:val="12"/>
                <w:numId w:val="0"/>
              </w:numPr>
              <w:tabs>
                <w:tab w:val="left" w:pos="360"/>
              </w:tabs>
              <w:jc w:val="center"/>
              <w:rPr>
                <w:rFonts w:cs="Arial"/>
                <w:sz w:val="20"/>
              </w:rPr>
            </w:pPr>
          </w:p>
        </w:tc>
        <w:tc>
          <w:tcPr>
            <w:tcW w:w="1188" w:type="dxa"/>
            <w:vAlign w:val="center"/>
          </w:tcPr>
          <w:p w:rsidR="007F72D3" w:rsidRPr="005362B9" w:rsidRDefault="007F72D3" w:rsidP="007F72D3">
            <w:pPr>
              <w:numPr>
                <w:ilvl w:val="12"/>
                <w:numId w:val="0"/>
              </w:numPr>
              <w:tabs>
                <w:tab w:val="left" w:pos="360"/>
              </w:tabs>
              <w:jc w:val="center"/>
              <w:rPr>
                <w:rFonts w:cs="Arial"/>
                <w:sz w:val="20"/>
              </w:rPr>
            </w:pPr>
            <w:r w:rsidRPr="005362B9">
              <w:rPr>
                <w:rFonts w:cs="Arial"/>
                <w:sz w:val="20"/>
              </w:rPr>
              <w:t>In house</w:t>
            </w:r>
          </w:p>
        </w:tc>
        <w:tc>
          <w:tcPr>
            <w:tcW w:w="1617" w:type="dxa"/>
            <w:vAlign w:val="center"/>
          </w:tcPr>
          <w:p w:rsidR="007F72D3" w:rsidRPr="005362B9" w:rsidRDefault="007F72D3" w:rsidP="007F72D3">
            <w:pPr>
              <w:numPr>
                <w:ilvl w:val="12"/>
                <w:numId w:val="0"/>
              </w:numPr>
              <w:tabs>
                <w:tab w:val="left" w:pos="360"/>
              </w:tabs>
              <w:jc w:val="center"/>
              <w:rPr>
                <w:rFonts w:cs="Arial"/>
                <w:sz w:val="20"/>
              </w:rPr>
            </w:pPr>
            <w:r w:rsidRPr="005362B9">
              <w:rPr>
                <w:rFonts w:cs="Arial"/>
                <w:sz w:val="20"/>
              </w:rPr>
              <w:t>£10m in total</w:t>
            </w:r>
          </w:p>
        </w:tc>
        <w:tc>
          <w:tcPr>
            <w:tcW w:w="2069" w:type="dxa"/>
            <w:vAlign w:val="center"/>
          </w:tcPr>
          <w:p w:rsidR="007F72D3" w:rsidRPr="005362B9" w:rsidRDefault="007F72D3" w:rsidP="007F72D3">
            <w:pPr>
              <w:numPr>
                <w:ilvl w:val="12"/>
                <w:numId w:val="0"/>
              </w:numPr>
              <w:tabs>
                <w:tab w:val="left" w:pos="360"/>
              </w:tabs>
              <w:ind w:right="-108"/>
              <w:jc w:val="center"/>
              <w:rPr>
                <w:rFonts w:cs="Arial"/>
                <w:sz w:val="20"/>
              </w:rPr>
            </w:pPr>
            <w:r w:rsidRPr="005362B9">
              <w:rPr>
                <w:rFonts w:cs="Arial"/>
                <w:sz w:val="20"/>
              </w:rPr>
              <w:t>Dependent on specific agreement</w:t>
            </w:r>
          </w:p>
        </w:tc>
      </w:tr>
      <w:tr w:rsidR="007F72D3" w:rsidRPr="005362B9" w:rsidTr="00416ACE">
        <w:tc>
          <w:tcPr>
            <w:tcW w:w="2431" w:type="dxa"/>
          </w:tcPr>
          <w:p w:rsidR="007F72D3" w:rsidRPr="005362B9" w:rsidRDefault="007F72D3" w:rsidP="007F72D3">
            <w:pPr>
              <w:numPr>
                <w:ilvl w:val="12"/>
                <w:numId w:val="0"/>
              </w:numPr>
              <w:tabs>
                <w:tab w:val="left" w:pos="360"/>
              </w:tabs>
              <w:rPr>
                <w:rFonts w:cs="Arial"/>
                <w:sz w:val="20"/>
              </w:rPr>
            </w:pPr>
            <w:r w:rsidRPr="005362B9">
              <w:rPr>
                <w:rFonts w:cs="Arial"/>
                <w:sz w:val="20"/>
              </w:rPr>
              <w:t>HB Public Law Ltd</w:t>
            </w:r>
          </w:p>
          <w:p w:rsidR="007F72D3" w:rsidRPr="005362B9" w:rsidRDefault="007F72D3" w:rsidP="007F72D3">
            <w:pPr>
              <w:numPr>
                <w:ilvl w:val="12"/>
                <w:numId w:val="0"/>
              </w:numPr>
              <w:tabs>
                <w:tab w:val="left" w:pos="360"/>
              </w:tabs>
              <w:rPr>
                <w:rFonts w:cs="Arial"/>
                <w:sz w:val="20"/>
              </w:rPr>
            </w:pPr>
          </w:p>
        </w:tc>
        <w:tc>
          <w:tcPr>
            <w:tcW w:w="2618" w:type="dxa"/>
          </w:tcPr>
          <w:p w:rsidR="007F72D3" w:rsidRPr="005362B9" w:rsidRDefault="007F72D3" w:rsidP="007F72D3">
            <w:pPr>
              <w:numPr>
                <w:ilvl w:val="12"/>
                <w:numId w:val="0"/>
              </w:numPr>
              <w:tabs>
                <w:tab w:val="left" w:pos="360"/>
              </w:tabs>
              <w:jc w:val="center"/>
              <w:rPr>
                <w:rFonts w:cs="Arial"/>
                <w:sz w:val="20"/>
              </w:rPr>
            </w:pPr>
          </w:p>
        </w:tc>
        <w:tc>
          <w:tcPr>
            <w:tcW w:w="1188" w:type="dxa"/>
            <w:vAlign w:val="center"/>
          </w:tcPr>
          <w:p w:rsidR="007F72D3" w:rsidRPr="005362B9" w:rsidRDefault="007F72D3" w:rsidP="007F72D3">
            <w:pPr>
              <w:numPr>
                <w:ilvl w:val="12"/>
                <w:numId w:val="0"/>
              </w:numPr>
              <w:tabs>
                <w:tab w:val="left" w:pos="360"/>
              </w:tabs>
              <w:jc w:val="center"/>
              <w:rPr>
                <w:rFonts w:cs="Arial"/>
                <w:sz w:val="20"/>
              </w:rPr>
            </w:pPr>
            <w:r w:rsidRPr="005362B9">
              <w:rPr>
                <w:rFonts w:cs="Arial"/>
                <w:sz w:val="20"/>
              </w:rPr>
              <w:t>In house</w:t>
            </w:r>
          </w:p>
        </w:tc>
        <w:tc>
          <w:tcPr>
            <w:tcW w:w="1617" w:type="dxa"/>
            <w:vAlign w:val="center"/>
          </w:tcPr>
          <w:p w:rsidR="007F72D3" w:rsidRPr="005362B9" w:rsidRDefault="007F72D3" w:rsidP="007F72D3">
            <w:pPr>
              <w:numPr>
                <w:ilvl w:val="12"/>
                <w:numId w:val="0"/>
              </w:numPr>
              <w:tabs>
                <w:tab w:val="left" w:pos="360"/>
              </w:tabs>
              <w:jc w:val="center"/>
              <w:rPr>
                <w:rFonts w:cs="Arial"/>
                <w:sz w:val="20"/>
              </w:rPr>
            </w:pPr>
            <w:r w:rsidRPr="005362B9">
              <w:rPr>
                <w:rFonts w:cs="Arial"/>
                <w:sz w:val="20"/>
              </w:rPr>
              <w:t>£0.1m</w:t>
            </w:r>
          </w:p>
        </w:tc>
        <w:tc>
          <w:tcPr>
            <w:tcW w:w="2069" w:type="dxa"/>
            <w:vAlign w:val="center"/>
          </w:tcPr>
          <w:p w:rsidR="007F72D3" w:rsidRPr="005362B9" w:rsidRDefault="007F72D3" w:rsidP="007F72D3">
            <w:pPr>
              <w:numPr>
                <w:ilvl w:val="12"/>
                <w:numId w:val="0"/>
              </w:numPr>
              <w:tabs>
                <w:tab w:val="left" w:pos="360"/>
              </w:tabs>
              <w:jc w:val="center"/>
              <w:rPr>
                <w:rFonts w:cs="Arial"/>
                <w:sz w:val="20"/>
              </w:rPr>
            </w:pPr>
            <w:r w:rsidRPr="005362B9">
              <w:rPr>
                <w:rFonts w:cs="Arial"/>
                <w:sz w:val="20"/>
              </w:rPr>
              <w:t>36 months</w:t>
            </w:r>
          </w:p>
        </w:tc>
      </w:tr>
      <w:tr w:rsidR="007F72D3" w:rsidRPr="005362B9" w:rsidTr="00416ACE">
        <w:tc>
          <w:tcPr>
            <w:tcW w:w="2431" w:type="dxa"/>
          </w:tcPr>
          <w:p w:rsidR="007F72D3" w:rsidRPr="005362B9" w:rsidRDefault="007F72D3" w:rsidP="007F72D3">
            <w:pPr>
              <w:numPr>
                <w:ilvl w:val="12"/>
                <w:numId w:val="0"/>
              </w:numPr>
              <w:tabs>
                <w:tab w:val="left" w:pos="360"/>
              </w:tabs>
              <w:rPr>
                <w:rFonts w:cs="Arial"/>
                <w:sz w:val="20"/>
              </w:rPr>
            </w:pPr>
            <w:r w:rsidRPr="005362B9">
              <w:rPr>
                <w:rFonts w:cs="Arial"/>
                <w:sz w:val="20"/>
              </w:rPr>
              <w:t>Investment Property Strategy</w:t>
            </w:r>
            <w:r w:rsidR="00CD3327">
              <w:rPr>
                <w:rFonts w:cs="Arial"/>
                <w:sz w:val="20"/>
              </w:rPr>
              <w:t xml:space="preserve"> *</w:t>
            </w:r>
          </w:p>
        </w:tc>
        <w:tc>
          <w:tcPr>
            <w:tcW w:w="2618" w:type="dxa"/>
          </w:tcPr>
          <w:p w:rsidR="007F72D3" w:rsidRPr="005362B9" w:rsidRDefault="007F72D3" w:rsidP="007F72D3">
            <w:pPr>
              <w:numPr>
                <w:ilvl w:val="12"/>
                <w:numId w:val="0"/>
              </w:numPr>
              <w:tabs>
                <w:tab w:val="left" w:pos="360"/>
              </w:tabs>
              <w:jc w:val="center"/>
              <w:rPr>
                <w:rFonts w:cs="Arial"/>
                <w:sz w:val="20"/>
              </w:rPr>
            </w:pPr>
          </w:p>
        </w:tc>
        <w:tc>
          <w:tcPr>
            <w:tcW w:w="1188" w:type="dxa"/>
            <w:vAlign w:val="center"/>
          </w:tcPr>
          <w:p w:rsidR="007F72D3" w:rsidRPr="005362B9" w:rsidRDefault="007F72D3" w:rsidP="007F72D3">
            <w:pPr>
              <w:numPr>
                <w:ilvl w:val="12"/>
                <w:numId w:val="0"/>
              </w:numPr>
              <w:tabs>
                <w:tab w:val="left" w:pos="360"/>
              </w:tabs>
              <w:jc w:val="center"/>
              <w:rPr>
                <w:rFonts w:cs="Arial"/>
                <w:sz w:val="20"/>
              </w:rPr>
            </w:pPr>
            <w:r w:rsidRPr="005362B9">
              <w:rPr>
                <w:rFonts w:cs="Arial"/>
                <w:sz w:val="20"/>
              </w:rPr>
              <w:t>In house</w:t>
            </w:r>
          </w:p>
        </w:tc>
        <w:tc>
          <w:tcPr>
            <w:tcW w:w="1617" w:type="dxa"/>
            <w:vAlign w:val="center"/>
          </w:tcPr>
          <w:p w:rsidR="007F72D3" w:rsidRPr="005362B9" w:rsidRDefault="007F72D3" w:rsidP="007F72D3">
            <w:pPr>
              <w:numPr>
                <w:ilvl w:val="12"/>
                <w:numId w:val="0"/>
              </w:numPr>
              <w:tabs>
                <w:tab w:val="left" w:pos="360"/>
              </w:tabs>
              <w:jc w:val="center"/>
              <w:rPr>
                <w:rFonts w:cs="Arial"/>
                <w:sz w:val="20"/>
              </w:rPr>
            </w:pPr>
            <w:r w:rsidRPr="005362B9">
              <w:rPr>
                <w:rFonts w:cs="Arial"/>
                <w:sz w:val="20"/>
              </w:rPr>
              <w:t>£20.0m</w:t>
            </w:r>
          </w:p>
        </w:tc>
        <w:tc>
          <w:tcPr>
            <w:tcW w:w="2069" w:type="dxa"/>
            <w:vAlign w:val="center"/>
          </w:tcPr>
          <w:p w:rsidR="007F72D3" w:rsidRPr="005362B9" w:rsidRDefault="007F72D3" w:rsidP="007F72D3">
            <w:pPr>
              <w:numPr>
                <w:ilvl w:val="12"/>
                <w:numId w:val="0"/>
              </w:numPr>
              <w:tabs>
                <w:tab w:val="left" w:pos="360"/>
              </w:tabs>
              <w:ind w:right="-108"/>
              <w:jc w:val="center"/>
              <w:rPr>
                <w:rFonts w:cs="Arial"/>
                <w:sz w:val="20"/>
              </w:rPr>
            </w:pPr>
            <w:r w:rsidRPr="005362B9">
              <w:rPr>
                <w:rFonts w:cs="Arial"/>
                <w:sz w:val="20"/>
              </w:rPr>
              <w:t>Dependent on specific agreement</w:t>
            </w:r>
          </w:p>
        </w:tc>
      </w:tr>
      <w:tr w:rsidR="007F72D3" w:rsidRPr="005362B9" w:rsidTr="00416ACE">
        <w:tc>
          <w:tcPr>
            <w:tcW w:w="2431" w:type="dxa"/>
            <w:shd w:val="clear" w:color="auto" w:fill="FFFFFF"/>
          </w:tcPr>
          <w:p w:rsidR="007F72D3" w:rsidRPr="005362B9" w:rsidRDefault="007F72D3" w:rsidP="007F72D3">
            <w:pPr>
              <w:numPr>
                <w:ilvl w:val="12"/>
                <w:numId w:val="0"/>
              </w:numPr>
              <w:tabs>
                <w:tab w:val="left" w:pos="360"/>
              </w:tabs>
              <w:rPr>
                <w:rFonts w:cs="Arial"/>
                <w:sz w:val="20"/>
              </w:rPr>
            </w:pPr>
            <w:r w:rsidRPr="005362B9">
              <w:rPr>
                <w:rFonts w:cs="Arial"/>
                <w:sz w:val="20"/>
              </w:rPr>
              <w:lastRenderedPageBreak/>
              <w:t>Concilium Business Services Ltd t/a Smart Lettings Ltd</w:t>
            </w:r>
          </w:p>
        </w:tc>
        <w:tc>
          <w:tcPr>
            <w:tcW w:w="2618" w:type="dxa"/>
          </w:tcPr>
          <w:p w:rsidR="007F72D3" w:rsidRPr="005362B9" w:rsidRDefault="007F72D3" w:rsidP="007F72D3">
            <w:pPr>
              <w:numPr>
                <w:ilvl w:val="12"/>
                <w:numId w:val="0"/>
              </w:numPr>
              <w:tabs>
                <w:tab w:val="left" w:pos="360"/>
              </w:tabs>
              <w:jc w:val="center"/>
              <w:rPr>
                <w:rFonts w:cs="Arial"/>
                <w:sz w:val="20"/>
              </w:rPr>
            </w:pPr>
          </w:p>
        </w:tc>
        <w:tc>
          <w:tcPr>
            <w:tcW w:w="1188" w:type="dxa"/>
            <w:vAlign w:val="center"/>
          </w:tcPr>
          <w:p w:rsidR="007F72D3" w:rsidRPr="005362B9" w:rsidRDefault="007F72D3" w:rsidP="007F72D3">
            <w:pPr>
              <w:numPr>
                <w:ilvl w:val="12"/>
                <w:numId w:val="0"/>
              </w:numPr>
              <w:tabs>
                <w:tab w:val="left" w:pos="360"/>
              </w:tabs>
              <w:jc w:val="center"/>
              <w:rPr>
                <w:rFonts w:cs="Arial"/>
                <w:sz w:val="20"/>
              </w:rPr>
            </w:pPr>
            <w:r w:rsidRPr="005362B9">
              <w:rPr>
                <w:rFonts w:cs="Arial"/>
                <w:sz w:val="20"/>
              </w:rPr>
              <w:t>In house</w:t>
            </w:r>
          </w:p>
        </w:tc>
        <w:tc>
          <w:tcPr>
            <w:tcW w:w="1617" w:type="dxa"/>
            <w:vAlign w:val="center"/>
          </w:tcPr>
          <w:p w:rsidR="007F72D3" w:rsidRPr="005362B9" w:rsidRDefault="007F72D3" w:rsidP="00724719">
            <w:pPr>
              <w:numPr>
                <w:ilvl w:val="12"/>
                <w:numId w:val="0"/>
              </w:numPr>
              <w:tabs>
                <w:tab w:val="left" w:pos="360"/>
              </w:tabs>
              <w:jc w:val="center"/>
              <w:rPr>
                <w:rFonts w:cs="Arial"/>
                <w:sz w:val="20"/>
              </w:rPr>
            </w:pPr>
            <w:r w:rsidRPr="005362B9">
              <w:rPr>
                <w:rFonts w:cs="Arial"/>
                <w:sz w:val="20"/>
              </w:rPr>
              <w:t>£0.</w:t>
            </w:r>
            <w:r w:rsidR="00724719">
              <w:rPr>
                <w:rFonts w:cs="Arial"/>
                <w:sz w:val="20"/>
              </w:rPr>
              <w:t>331</w:t>
            </w:r>
            <w:r w:rsidR="00724719" w:rsidRPr="005362B9">
              <w:rPr>
                <w:rFonts w:cs="Arial"/>
                <w:sz w:val="20"/>
              </w:rPr>
              <w:t>m</w:t>
            </w:r>
          </w:p>
        </w:tc>
        <w:tc>
          <w:tcPr>
            <w:tcW w:w="2069" w:type="dxa"/>
            <w:vAlign w:val="center"/>
          </w:tcPr>
          <w:p w:rsidR="007F72D3" w:rsidRPr="005362B9" w:rsidRDefault="007F72D3" w:rsidP="007F72D3">
            <w:pPr>
              <w:numPr>
                <w:ilvl w:val="12"/>
                <w:numId w:val="0"/>
              </w:numPr>
              <w:tabs>
                <w:tab w:val="left" w:pos="360"/>
              </w:tabs>
              <w:ind w:right="-108"/>
              <w:jc w:val="center"/>
              <w:rPr>
                <w:rFonts w:cs="Arial"/>
                <w:sz w:val="20"/>
              </w:rPr>
            </w:pPr>
            <w:r w:rsidRPr="005362B9">
              <w:rPr>
                <w:rFonts w:cs="Arial"/>
                <w:sz w:val="20"/>
              </w:rPr>
              <w:t>36 months</w:t>
            </w:r>
          </w:p>
        </w:tc>
      </w:tr>
      <w:tr w:rsidR="007F72D3" w:rsidRPr="005362B9" w:rsidTr="00416ACE">
        <w:tc>
          <w:tcPr>
            <w:tcW w:w="2431" w:type="dxa"/>
          </w:tcPr>
          <w:p w:rsidR="007F72D3" w:rsidRPr="005362B9" w:rsidRDefault="007F72D3" w:rsidP="007F72D3">
            <w:pPr>
              <w:numPr>
                <w:ilvl w:val="12"/>
                <w:numId w:val="0"/>
              </w:numPr>
              <w:tabs>
                <w:tab w:val="left" w:pos="360"/>
              </w:tabs>
              <w:rPr>
                <w:rFonts w:cs="Arial"/>
                <w:sz w:val="20"/>
              </w:rPr>
            </w:pPr>
            <w:r w:rsidRPr="005362B9">
              <w:rPr>
                <w:rFonts w:cs="Arial"/>
                <w:sz w:val="20"/>
              </w:rPr>
              <w:t>Concilium Group</w:t>
            </w:r>
          </w:p>
          <w:p w:rsidR="007F72D3" w:rsidRPr="005362B9" w:rsidRDefault="007F72D3" w:rsidP="007F72D3">
            <w:pPr>
              <w:numPr>
                <w:ilvl w:val="12"/>
                <w:numId w:val="0"/>
              </w:numPr>
              <w:tabs>
                <w:tab w:val="left" w:pos="360"/>
              </w:tabs>
              <w:rPr>
                <w:rFonts w:cs="Arial"/>
                <w:sz w:val="20"/>
              </w:rPr>
            </w:pPr>
            <w:r w:rsidRPr="005362B9">
              <w:rPr>
                <w:rFonts w:cs="Arial"/>
                <w:sz w:val="20"/>
              </w:rPr>
              <w:t>Startup capital</w:t>
            </w:r>
          </w:p>
        </w:tc>
        <w:tc>
          <w:tcPr>
            <w:tcW w:w="2618" w:type="dxa"/>
          </w:tcPr>
          <w:p w:rsidR="007F72D3" w:rsidRPr="005362B9" w:rsidRDefault="007F72D3" w:rsidP="007F72D3"/>
        </w:tc>
        <w:tc>
          <w:tcPr>
            <w:tcW w:w="1188" w:type="dxa"/>
            <w:vAlign w:val="center"/>
          </w:tcPr>
          <w:p w:rsidR="007F72D3" w:rsidRPr="005362B9" w:rsidRDefault="007F72D3" w:rsidP="007F72D3">
            <w:pPr>
              <w:jc w:val="center"/>
            </w:pPr>
            <w:r w:rsidRPr="005362B9">
              <w:rPr>
                <w:rFonts w:cs="Arial"/>
                <w:sz w:val="20"/>
              </w:rPr>
              <w:t>In house</w:t>
            </w:r>
          </w:p>
        </w:tc>
        <w:tc>
          <w:tcPr>
            <w:tcW w:w="1617" w:type="dxa"/>
            <w:vAlign w:val="center"/>
          </w:tcPr>
          <w:p w:rsidR="007F72D3" w:rsidRPr="005362B9" w:rsidRDefault="007F72D3" w:rsidP="007F72D3">
            <w:pPr>
              <w:numPr>
                <w:ilvl w:val="12"/>
                <w:numId w:val="0"/>
              </w:numPr>
              <w:tabs>
                <w:tab w:val="left" w:pos="360"/>
              </w:tabs>
              <w:jc w:val="center"/>
              <w:rPr>
                <w:rFonts w:cs="Arial"/>
                <w:sz w:val="20"/>
              </w:rPr>
            </w:pPr>
            <w:r w:rsidRPr="005362B9">
              <w:rPr>
                <w:rFonts w:cs="Arial"/>
                <w:sz w:val="20"/>
              </w:rPr>
              <w:t>£0.702m</w:t>
            </w:r>
          </w:p>
        </w:tc>
        <w:tc>
          <w:tcPr>
            <w:tcW w:w="2069" w:type="dxa"/>
            <w:vAlign w:val="center"/>
          </w:tcPr>
          <w:p w:rsidR="007F72D3" w:rsidRPr="005362B9" w:rsidRDefault="007F72D3" w:rsidP="007F72D3">
            <w:pPr>
              <w:numPr>
                <w:ilvl w:val="12"/>
                <w:numId w:val="0"/>
              </w:numPr>
              <w:tabs>
                <w:tab w:val="left" w:pos="360"/>
              </w:tabs>
              <w:ind w:right="-108"/>
              <w:jc w:val="center"/>
              <w:rPr>
                <w:rFonts w:cs="Arial"/>
                <w:sz w:val="20"/>
              </w:rPr>
            </w:pPr>
            <w:r w:rsidRPr="005362B9">
              <w:rPr>
                <w:rFonts w:cs="Arial"/>
                <w:sz w:val="20"/>
              </w:rPr>
              <w:t>60 months</w:t>
            </w:r>
          </w:p>
        </w:tc>
      </w:tr>
      <w:tr w:rsidR="007F72D3" w:rsidRPr="005362B9" w:rsidTr="00416ACE">
        <w:tc>
          <w:tcPr>
            <w:tcW w:w="2431" w:type="dxa"/>
          </w:tcPr>
          <w:p w:rsidR="007F72D3" w:rsidRPr="005362B9" w:rsidRDefault="007F72D3" w:rsidP="007F72D3">
            <w:pPr>
              <w:numPr>
                <w:ilvl w:val="12"/>
                <w:numId w:val="0"/>
              </w:numPr>
              <w:tabs>
                <w:tab w:val="left" w:pos="360"/>
              </w:tabs>
              <w:rPr>
                <w:rFonts w:cs="Arial"/>
                <w:sz w:val="20"/>
              </w:rPr>
            </w:pPr>
            <w:r w:rsidRPr="005362B9">
              <w:rPr>
                <w:rFonts w:cs="Arial"/>
                <w:sz w:val="20"/>
              </w:rPr>
              <w:t>Concilium Group</w:t>
            </w:r>
          </w:p>
          <w:p w:rsidR="007F72D3" w:rsidRPr="005362B9" w:rsidRDefault="007F72D3" w:rsidP="007F72D3">
            <w:pPr>
              <w:numPr>
                <w:ilvl w:val="12"/>
                <w:numId w:val="0"/>
              </w:numPr>
              <w:tabs>
                <w:tab w:val="left" w:pos="360"/>
              </w:tabs>
              <w:rPr>
                <w:rFonts w:cs="Arial"/>
                <w:sz w:val="20"/>
              </w:rPr>
            </w:pPr>
            <w:r w:rsidRPr="005362B9">
              <w:rPr>
                <w:rFonts w:cs="Arial"/>
                <w:sz w:val="20"/>
              </w:rPr>
              <w:t>5% Long Term Investment</w:t>
            </w:r>
          </w:p>
        </w:tc>
        <w:tc>
          <w:tcPr>
            <w:tcW w:w="2618" w:type="dxa"/>
          </w:tcPr>
          <w:p w:rsidR="007F72D3" w:rsidRPr="005362B9" w:rsidRDefault="007F72D3" w:rsidP="007F72D3">
            <w:pPr>
              <w:numPr>
                <w:ilvl w:val="12"/>
                <w:numId w:val="0"/>
              </w:numPr>
              <w:tabs>
                <w:tab w:val="left" w:pos="360"/>
              </w:tabs>
              <w:jc w:val="center"/>
              <w:rPr>
                <w:rFonts w:cs="Arial"/>
                <w:sz w:val="20"/>
              </w:rPr>
            </w:pPr>
          </w:p>
        </w:tc>
        <w:tc>
          <w:tcPr>
            <w:tcW w:w="1188" w:type="dxa"/>
            <w:vAlign w:val="center"/>
          </w:tcPr>
          <w:p w:rsidR="007F72D3" w:rsidRPr="005362B9" w:rsidRDefault="007F72D3" w:rsidP="007F72D3">
            <w:pPr>
              <w:numPr>
                <w:ilvl w:val="12"/>
                <w:numId w:val="0"/>
              </w:numPr>
              <w:tabs>
                <w:tab w:val="left" w:pos="360"/>
              </w:tabs>
              <w:jc w:val="center"/>
              <w:rPr>
                <w:rFonts w:cs="Arial"/>
                <w:sz w:val="20"/>
              </w:rPr>
            </w:pPr>
            <w:r w:rsidRPr="005362B9">
              <w:rPr>
                <w:rFonts w:cs="Arial"/>
                <w:sz w:val="20"/>
              </w:rPr>
              <w:t>In house</w:t>
            </w:r>
          </w:p>
        </w:tc>
        <w:tc>
          <w:tcPr>
            <w:tcW w:w="1617" w:type="dxa"/>
            <w:vAlign w:val="center"/>
          </w:tcPr>
          <w:p w:rsidR="007F72D3" w:rsidRPr="005362B9" w:rsidRDefault="007F72D3" w:rsidP="007F72D3">
            <w:pPr>
              <w:numPr>
                <w:ilvl w:val="12"/>
                <w:numId w:val="0"/>
              </w:numPr>
              <w:tabs>
                <w:tab w:val="left" w:pos="360"/>
              </w:tabs>
              <w:jc w:val="center"/>
              <w:rPr>
                <w:rFonts w:cs="Arial"/>
                <w:sz w:val="20"/>
              </w:rPr>
            </w:pPr>
            <w:r w:rsidRPr="005362B9">
              <w:rPr>
                <w:rFonts w:cs="Arial"/>
                <w:sz w:val="20"/>
              </w:rPr>
              <w:t>£1.5m</w:t>
            </w:r>
          </w:p>
        </w:tc>
        <w:tc>
          <w:tcPr>
            <w:tcW w:w="2069" w:type="dxa"/>
            <w:vAlign w:val="center"/>
          </w:tcPr>
          <w:p w:rsidR="007F72D3" w:rsidRPr="005362B9" w:rsidRDefault="007F72D3" w:rsidP="007F72D3">
            <w:pPr>
              <w:numPr>
                <w:ilvl w:val="12"/>
                <w:numId w:val="0"/>
              </w:numPr>
              <w:tabs>
                <w:tab w:val="left" w:pos="360"/>
              </w:tabs>
              <w:ind w:right="-108"/>
              <w:jc w:val="center"/>
              <w:rPr>
                <w:rFonts w:cs="Arial"/>
                <w:sz w:val="20"/>
              </w:rPr>
            </w:pPr>
            <w:r w:rsidRPr="005362B9">
              <w:rPr>
                <w:rFonts w:cs="Arial"/>
                <w:sz w:val="20"/>
              </w:rPr>
              <w:t>Dependent on specific agreement</w:t>
            </w:r>
          </w:p>
        </w:tc>
      </w:tr>
      <w:tr w:rsidR="007F72D3" w:rsidRPr="005362B9" w:rsidTr="00416ACE">
        <w:tc>
          <w:tcPr>
            <w:tcW w:w="2431" w:type="dxa"/>
          </w:tcPr>
          <w:p w:rsidR="007F72D3" w:rsidRPr="00CD3327" w:rsidRDefault="007F72D3" w:rsidP="007F72D3">
            <w:pPr>
              <w:numPr>
                <w:ilvl w:val="12"/>
                <w:numId w:val="0"/>
              </w:numPr>
              <w:tabs>
                <w:tab w:val="left" w:pos="360"/>
              </w:tabs>
              <w:rPr>
                <w:rFonts w:cs="Arial"/>
                <w:sz w:val="20"/>
              </w:rPr>
            </w:pPr>
            <w:r w:rsidRPr="00CD3327">
              <w:rPr>
                <w:rFonts w:cs="Arial"/>
                <w:sz w:val="20"/>
              </w:rPr>
              <w:t>Cultura London re Harrow Arts Centre</w:t>
            </w:r>
          </w:p>
        </w:tc>
        <w:tc>
          <w:tcPr>
            <w:tcW w:w="2618" w:type="dxa"/>
          </w:tcPr>
          <w:p w:rsidR="007F72D3" w:rsidRPr="00CD3327" w:rsidRDefault="007F72D3" w:rsidP="007F72D3">
            <w:pPr>
              <w:numPr>
                <w:ilvl w:val="12"/>
                <w:numId w:val="0"/>
              </w:numPr>
              <w:tabs>
                <w:tab w:val="left" w:pos="360"/>
              </w:tabs>
              <w:jc w:val="center"/>
              <w:rPr>
                <w:rFonts w:cs="Arial"/>
                <w:sz w:val="20"/>
              </w:rPr>
            </w:pPr>
          </w:p>
        </w:tc>
        <w:tc>
          <w:tcPr>
            <w:tcW w:w="1188" w:type="dxa"/>
            <w:vAlign w:val="center"/>
          </w:tcPr>
          <w:p w:rsidR="007F72D3" w:rsidRPr="00CD3327" w:rsidRDefault="007F72D3" w:rsidP="007F72D3">
            <w:pPr>
              <w:numPr>
                <w:ilvl w:val="12"/>
                <w:numId w:val="0"/>
              </w:numPr>
              <w:tabs>
                <w:tab w:val="left" w:pos="360"/>
              </w:tabs>
              <w:jc w:val="center"/>
              <w:rPr>
                <w:rFonts w:cs="Arial"/>
                <w:sz w:val="20"/>
              </w:rPr>
            </w:pPr>
            <w:r w:rsidRPr="00CD3327">
              <w:rPr>
                <w:rFonts w:cs="Arial"/>
                <w:sz w:val="20"/>
              </w:rPr>
              <w:t>In house</w:t>
            </w:r>
          </w:p>
        </w:tc>
        <w:tc>
          <w:tcPr>
            <w:tcW w:w="1617" w:type="dxa"/>
            <w:vAlign w:val="center"/>
          </w:tcPr>
          <w:p w:rsidR="007F72D3" w:rsidRPr="00CD3327" w:rsidRDefault="007F72D3" w:rsidP="007F72D3">
            <w:pPr>
              <w:numPr>
                <w:ilvl w:val="12"/>
                <w:numId w:val="0"/>
              </w:numPr>
              <w:tabs>
                <w:tab w:val="left" w:pos="360"/>
              </w:tabs>
              <w:jc w:val="center"/>
              <w:rPr>
                <w:rFonts w:cs="Arial"/>
                <w:sz w:val="20"/>
              </w:rPr>
            </w:pPr>
            <w:r w:rsidRPr="00CD3327">
              <w:rPr>
                <w:rFonts w:cs="Arial"/>
                <w:sz w:val="20"/>
              </w:rPr>
              <w:t>£1m</w:t>
            </w:r>
          </w:p>
        </w:tc>
        <w:tc>
          <w:tcPr>
            <w:tcW w:w="2069" w:type="dxa"/>
            <w:vAlign w:val="center"/>
          </w:tcPr>
          <w:p w:rsidR="007F72D3" w:rsidRPr="00CD3327" w:rsidRDefault="007F72D3" w:rsidP="007F72D3">
            <w:pPr>
              <w:numPr>
                <w:ilvl w:val="12"/>
                <w:numId w:val="0"/>
              </w:numPr>
              <w:tabs>
                <w:tab w:val="left" w:pos="360"/>
              </w:tabs>
              <w:ind w:right="-108"/>
              <w:jc w:val="center"/>
              <w:rPr>
                <w:rFonts w:cs="Arial"/>
                <w:sz w:val="20"/>
              </w:rPr>
            </w:pPr>
            <w:r w:rsidRPr="00CD3327">
              <w:rPr>
                <w:rFonts w:cs="Arial"/>
                <w:sz w:val="20"/>
              </w:rPr>
              <w:t>25 years</w:t>
            </w:r>
          </w:p>
        </w:tc>
      </w:tr>
      <w:tr w:rsidR="007F72D3" w:rsidRPr="005362B9" w:rsidTr="00416ACE">
        <w:tc>
          <w:tcPr>
            <w:tcW w:w="2431" w:type="dxa"/>
          </w:tcPr>
          <w:p w:rsidR="007F72D3" w:rsidRPr="005362B9" w:rsidRDefault="007F72D3" w:rsidP="007F72D3">
            <w:pPr>
              <w:numPr>
                <w:ilvl w:val="12"/>
                <w:numId w:val="0"/>
              </w:numPr>
              <w:tabs>
                <w:tab w:val="left" w:pos="360"/>
              </w:tabs>
              <w:rPr>
                <w:rFonts w:cs="Arial"/>
                <w:sz w:val="20"/>
              </w:rPr>
            </w:pPr>
            <w:r w:rsidRPr="005362B9">
              <w:rPr>
                <w:rFonts w:cs="Arial"/>
                <w:sz w:val="20"/>
              </w:rPr>
              <w:t xml:space="preserve">Housing Development Vehicle (LLP) – Initially on acquisition of 100 homes </w:t>
            </w:r>
          </w:p>
        </w:tc>
        <w:tc>
          <w:tcPr>
            <w:tcW w:w="2618" w:type="dxa"/>
          </w:tcPr>
          <w:p w:rsidR="007F72D3" w:rsidRPr="005362B9" w:rsidRDefault="007F72D3" w:rsidP="007F72D3">
            <w:pPr>
              <w:numPr>
                <w:ilvl w:val="12"/>
                <w:numId w:val="0"/>
              </w:numPr>
              <w:tabs>
                <w:tab w:val="left" w:pos="360"/>
              </w:tabs>
              <w:jc w:val="center"/>
              <w:rPr>
                <w:rFonts w:cs="Arial"/>
                <w:sz w:val="20"/>
              </w:rPr>
            </w:pPr>
          </w:p>
        </w:tc>
        <w:tc>
          <w:tcPr>
            <w:tcW w:w="1188" w:type="dxa"/>
            <w:vAlign w:val="center"/>
          </w:tcPr>
          <w:p w:rsidR="007F72D3" w:rsidRPr="005362B9" w:rsidRDefault="007F72D3" w:rsidP="007F72D3">
            <w:pPr>
              <w:numPr>
                <w:ilvl w:val="12"/>
                <w:numId w:val="0"/>
              </w:numPr>
              <w:tabs>
                <w:tab w:val="left" w:pos="360"/>
              </w:tabs>
              <w:jc w:val="center"/>
              <w:rPr>
                <w:rFonts w:cs="Arial"/>
                <w:sz w:val="20"/>
              </w:rPr>
            </w:pPr>
            <w:r w:rsidRPr="005362B9">
              <w:rPr>
                <w:rFonts w:cs="Arial"/>
                <w:sz w:val="20"/>
              </w:rPr>
              <w:t>In house</w:t>
            </w:r>
          </w:p>
        </w:tc>
        <w:tc>
          <w:tcPr>
            <w:tcW w:w="1617" w:type="dxa"/>
            <w:vAlign w:val="center"/>
          </w:tcPr>
          <w:p w:rsidR="007F72D3" w:rsidRPr="005362B9" w:rsidRDefault="007F72D3" w:rsidP="007F72D3">
            <w:pPr>
              <w:numPr>
                <w:ilvl w:val="12"/>
                <w:numId w:val="0"/>
              </w:numPr>
              <w:tabs>
                <w:tab w:val="left" w:pos="360"/>
              </w:tabs>
              <w:jc w:val="center"/>
              <w:rPr>
                <w:rFonts w:cs="Arial"/>
                <w:sz w:val="20"/>
              </w:rPr>
            </w:pPr>
            <w:r w:rsidRPr="005362B9">
              <w:rPr>
                <w:rFonts w:cs="Arial"/>
                <w:sz w:val="20"/>
              </w:rPr>
              <w:t>£30m</w:t>
            </w:r>
          </w:p>
        </w:tc>
        <w:tc>
          <w:tcPr>
            <w:tcW w:w="2069" w:type="dxa"/>
            <w:vAlign w:val="center"/>
          </w:tcPr>
          <w:p w:rsidR="007F72D3" w:rsidRPr="005362B9" w:rsidRDefault="007F72D3" w:rsidP="007F72D3">
            <w:pPr>
              <w:numPr>
                <w:ilvl w:val="12"/>
                <w:numId w:val="0"/>
              </w:numPr>
              <w:tabs>
                <w:tab w:val="left" w:pos="360"/>
              </w:tabs>
              <w:ind w:right="-108"/>
              <w:jc w:val="center"/>
              <w:rPr>
                <w:rFonts w:cs="Arial"/>
                <w:sz w:val="20"/>
              </w:rPr>
            </w:pPr>
            <w:r w:rsidRPr="005362B9">
              <w:rPr>
                <w:rFonts w:cs="Arial"/>
                <w:sz w:val="20"/>
              </w:rPr>
              <w:t>Dependent on specific agreement</w:t>
            </w:r>
          </w:p>
        </w:tc>
      </w:tr>
    </w:tbl>
    <w:p w:rsidR="00416ACE" w:rsidRDefault="00416ACE" w:rsidP="007F72D3">
      <w:pPr>
        <w:ind w:left="426"/>
        <w:jc w:val="both"/>
        <w:rPr>
          <w:rFonts w:cs="Arial"/>
          <w:bCs/>
          <w:color w:val="FF0000"/>
          <w:highlight w:val="yellow"/>
        </w:rPr>
      </w:pPr>
    </w:p>
    <w:p w:rsidR="00007E2C" w:rsidRPr="00CD3327" w:rsidRDefault="00CD3327" w:rsidP="00CD3327">
      <w:pPr>
        <w:ind w:left="720" w:hanging="1146"/>
        <w:rPr>
          <w:rFonts w:cs="Arial"/>
          <w:sz w:val="20"/>
          <w:szCs w:val="24"/>
          <w:lang w:eastAsia="en-GB"/>
        </w:rPr>
      </w:pPr>
      <w:r>
        <w:rPr>
          <w:rFonts w:cs="Arial"/>
          <w:sz w:val="20"/>
          <w:szCs w:val="24"/>
          <w:lang w:eastAsia="en-GB"/>
        </w:rPr>
        <w:t xml:space="preserve"> *</w:t>
      </w:r>
      <w:r w:rsidRPr="00CD3327">
        <w:rPr>
          <w:rFonts w:cs="Arial"/>
          <w:sz w:val="20"/>
          <w:szCs w:val="24"/>
          <w:lang w:eastAsia="en-GB"/>
        </w:rPr>
        <w:t>Investment to date totals £</w:t>
      </w:r>
      <w:r w:rsidR="00342D5F">
        <w:rPr>
          <w:rFonts w:cs="Arial"/>
          <w:sz w:val="20"/>
          <w:szCs w:val="24"/>
          <w:lang w:eastAsia="en-GB"/>
        </w:rPr>
        <w:t>10.2m</w:t>
      </w:r>
    </w:p>
    <w:p w:rsidR="00007E2C" w:rsidRPr="00650028" w:rsidRDefault="00B93CA0" w:rsidP="00007E2C">
      <w:pPr>
        <w:ind w:left="720"/>
        <w:jc w:val="right"/>
        <w:rPr>
          <w:b/>
          <w:sz w:val="32"/>
          <w:szCs w:val="32"/>
        </w:rPr>
      </w:pPr>
      <w:r>
        <w:rPr>
          <w:rFonts w:cs="Arial"/>
          <w:bCs/>
          <w:color w:val="FF0000"/>
        </w:rPr>
        <w:br w:type="page"/>
      </w:r>
      <w:r w:rsidR="00007E2C">
        <w:rPr>
          <w:b/>
          <w:sz w:val="32"/>
          <w:szCs w:val="32"/>
        </w:rPr>
        <w:lastRenderedPageBreak/>
        <w:t>A</w:t>
      </w:r>
      <w:r w:rsidR="00007E2C" w:rsidRPr="00650028">
        <w:rPr>
          <w:b/>
          <w:sz w:val="32"/>
          <w:szCs w:val="32"/>
        </w:rPr>
        <w:t xml:space="preserve">PPENDIX </w:t>
      </w:r>
      <w:r w:rsidR="00007E2C">
        <w:rPr>
          <w:b/>
          <w:sz w:val="32"/>
          <w:szCs w:val="32"/>
        </w:rPr>
        <w:t>G</w:t>
      </w:r>
    </w:p>
    <w:p w:rsidR="00007E2C" w:rsidRPr="00CF6FAC" w:rsidRDefault="00007E2C" w:rsidP="00007E2C">
      <w:pPr>
        <w:spacing w:before="270" w:after="180"/>
        <w:ind w:left="720" w:hanging="720"/>
        <w:jc w:val="both"/>
        <w:rPr>
          <w:rFonts w:cs="Arial"/>
          <w:b/>
          <w:noProof/>
          <w:sz w:val="32"/>
          <w:szCs w:val="32"/>
        </w:rPr>
      </w:pPr>
      <w:r w:rsidRPr="00CF6FAC">
        <w:rPr>
          <w:rFonts w:cs="Arial"/>
          <w:b/>
          <w:noProof/>
          <w:sz w:val="32"/>
          <w:szCs w:val="32"/>
        </w:rPr>
        <w:t>Affordability Prudential Indicators</w:t>
      </w:r>
    </w:p>
    <w:p w:rsidR="00007E2C" w:rsidRPr="00CF6FAC" w:rsidRDefault="00007E2C" w:rsidP="00007E2C">
      <w:pPr>
        <w:spacing w:after="120"/>
        <w:ind w:left="561" w:hanging="561"/>
        <w:jc w:val="both"/>
        <w:rPr>
          <w:rFonts w:cs="Arial"/>
          <w:b/>
          <w:iCs/>
          <w:sz w:val="28"/>
          <w:szCs w:val="28"/>
        </w:rPr>
      </w:pPr>
      <w:r w:rsidRPr="00CF6FAC">
        <w:rPr>
          <w:rFonts w:cs="Arial"/>
          <w:b/>
          <w:iCs/>
          <w:sz w:val="28"/>
          <w:szCs w:val="28"/>
        </w:rPr>
        <w:t>1 Ratio of Financing Costs to Revenue Stream</w:t>
      </w:r>
    </w:p>
    <w:p w:rsidR="00007E2C" w:rsidRPr="00CF6FAC" w:rsidRDefault="00007E2C" w:rsidP="00007E2C">
      <w:pPr>
        <w:jc w:val="both"/>
        <w:rPr>
          <w:rFonts w:cs="Arial"/>
          <w:szCs w:val="24"/>
        </w:rPr>
      </w:pPr>
      <w:r w:rsidRPr="00CF6FAC">
        <w:rPr>
          <w:rFonts w:cs="Arial"/>
          <w:szCs w:val="24"/>
        </w:rPr>
        <w:t xml:space="preserve">This indicator identifies the trend in the cost of capital (borrowing, depreciation, impairment and other long term obligation costs net of investment income) against the net revenue stream. Tables </w:t>
      </w:r>
      <w:r w:rsidR="0043543F" w:rsidRPr="00CF6FAC">
        <w:rPr>
          <w:rFonts w:cs="Arial"/>
          <w:szCs w:val="24"/>
        </w:rPr>
        <w:t>1</w:t>
      </w:r>
      <w:r w:rsidR="001D69CF" w:rsidRPr="00CF6FAC">
        <w:rPr>
          <w:rFonts w:cs="Arial"/>
          <w:szCs w:val="24"/>
        </w:rPr>
        <w:t>2</w:t>
      </w:r>
      <w:r w:rsidRPr="00CF6FAC">
        <w:rPr>
          <w:rFonts w:cs="Arial"/>
          <w:szCs w:val="24"/>
        </w:rPr>
        <w:t xml:space="preserve"> and </w:t>
      </w:r>
      <w:r w:rsidR="0043543F" w:rsidRPr="00CF6FAC">
        <w:rPr>
          <w:rFonts w:cs="Arial"/>
          <w:szCs w:val="24"/>
        </w:rPr>
        <w:t>1</w:t>
      </w:r>
      <w:r w:rsidR="001D69CF" w:rsidRPr="00CF6FAC">
        <w:rPr>
          <w:rFonts w:cs="Arial"/>
          <w:szCs w:val="24"/>
        </w:rPr>
        <w:t>3</w:t>
      </w:r>
      <w:r w:rsidRPr="00CF6FAC">
        <w:rPr>
          <w:rFonts w:cs="Arial"/>
          <w:szCs w:val="24"/>
        </w:rPr>
        <w:t xml:space="preserve"> below show the current position for the </w:t>
      </w:r>
      <w:r w:rsidR="009C7ACB" w:rsidRPr="00CF6FAC">
        <w:rPr>
          <w:rFonts w:cs="Arial"/>
          <w:szCs w:val="24"/>
        </w:rPr>
        <w:t>G</w:t>
      </w:r>
      <w:r w:rsidRPr="00CF6FAC">
        <w:rPr>
          <w:rFonts w:cs="Arial"/>
          <w:szCs w:val="24"/>
        </w:rPr>
        <w:t xml:space="preserve">eneral </w:t>
      </w:r>
      <w:r w:rsidR="009C7ACB" w:rsidRPr="00CF6FAC">
        <w:rPr>
          <w:rFonts w:cs="Arial"/>
          <w:szCs w:val="24"/>
        </w:rPr>
        <w:t>F</w:t>
      </w:r>
      <w:r w:rsidRPr="00CF6FAC">
        <w:rPr>
          <w:rFonts w:cs="Arial"/>
          <w:szCs w:val="24"/>
        </w:rPr>
        <w:t>und and HRA respectively.</w:t>
      </w:r>
    </w:p>
    <w:p w:rsidR="00007E2C" w:rsidRPr="00CF6FAC" w:rsidRDefault="00007E2C" w:rsidP="00007E2C">
      <w:pPr>
        <w:ind w:left="426" w:hanging="426"/>
        <w:jc w:val="both"/>
        <w:rPr>
          <w:rFonts w:cs="Arial"/>
          <w:b/>
          <w:bCs/>
          <w:sz w:val="28"/>
          <w:szCs w:val="28"/>
        </w:rPr>
      </w:pPr>
      <w:r w:rsidRPr="00CF6FAC">
        <w:rPr>
          <w:rFonts w:cs="Arial"/>
          <w:b/>
          <w:bCs/>
          <w:sz w:val="28"/>
          <w:szCs w:val="28"/>
        </w:rPr>
        <w:t xml:space="preserve"> </w:t>
      </w:r>
    </w:p>
    <w:p w:rsidR="00007E2C" w:rsidRPr="00CF6FAC" w:rsidRDefault="00007E2C" w:rsidP="00003303">
      <w:pPr>
        <w:jc w:val="both"/>
        <w:rPr>
          <w:rFonts w:cs="Arial"/>
          <w:b/>
          <w:bCs/>
          <w:szCs w:val="24"/>
        </w:rPr>
      </w:pPr>
      <w:r w:rsidRPr="00CF6FAC">
        <w:rPr>
          <w:rFonts w:cs="Arial"/>
          <w:b/>
          <w:bCs/>
          <w:szCs w:val="24"/>
        </w:rPr>
        <w:t>Table 1</w:t>
      </w:r>
      <w:r w:rsidR="001D7DC7" w:rsidRPr="00CF6FAC">
        <w:rPr>
          <w:rFonts w:cs="Arial"/>
          <w:b/>
          <w:bCs/>
          <w:szCs w:val="24"/>
        </w:rPr>
        <w:t>2</w:t>
      </w:r>
      <w:r w:rsidRPr="00CF6FAC">
        <w:rPr>
          <w:rFonts w:cs="Arial"/>
          <w:b/>
          <w:bCs/>
          <w:szCs w:val="24"/>
        </w:rPr>
        <w:t xml:space="preserve"> Ratio of Financing Costs to Revenue Stream – General Fund</w:t>
      </w:r>
      <w:r w:rsidR="00003303" w:rsidRPr="00CF6FAC">
        <w:rPr>
          <w:rFonts w:cs="Arial"/>
          <w:b/>
          <w:bCs/>
          <w:szCs w:val="24"/>
        </w:rPr>
        <w:t xml:space="preserve"> (excluding Regeneration)</w:t>
      </w:r>
      <w:r w:rsidRPr="00CF6FAC">
        <w:rPr>
          <w:rFonts w:cs="Arial"/>
          <w:b/>
          <w:bCs/>
          <w:szCs w:val="24"/>
        </w:rPr>
        <w:t xml:space="preserve"> </w:t>
      </w:r>
    </w:p>
    <w:p w:rsidR="00F43823" w:rsidRPr="00CF6FAC" w:rsidRDefault="00F43823" w:rsidP="00003303">
      <w:pPr>
        <w:jc w:val="both"/>
        <w:rPr>
          <w:rFonts w:cs="Arial"/>
          <w:b/>
          <w:bCs/>
          <w:szCs w:val="24"/>
        </w:rPr>
      </w:pPr>
    </w:p>
    <w:p w:rsidR="00237A3D" w:rsidRPr="00CF6FAC" w:rsidRDefault="00C84E89" w:rsidP="00007E2C">
      <w:pPr>
        <w:ind w:left="374" w:hanging="374"/>
        <w:jc w:val="both"/>
      </w:pPr>
      <w:r w:rsidRPr="00C84E89">
        <w:rPr>
          <w:noProof/>
          <w:lang w:eastAsia="en-GB"/>
        </w:rPr>
        <w:drawing>
          <wp:inline distT="0" distB="0" distL="0" distR="0" wp14:anchorId="6D11C14A" wp14:editId="5D3121CD">
            <wp:extent cx="5276215" cy="1391750"/>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6215" cy="1391750"/>
                    </a:xfrm>
                    <a:prstGeom prst="rect">
                      <a:avLst/>
                    </a:prstGeom>
                    <a:noFill/>
                    <a:ln>
                      <a:noFill/>
                    </a:ln>
                  </pic:spPr>
                </pic:pic>
              </a:graphicData>
            </a:graphic>
          </wp:inline>
        </w:drawing>
      </w:r>
    </w:p>
    <w:p w:rsidR="00003303" w:rsidRPr="00CF6FAC" w:rsidRDefault="00003303" w:rsidP="00007E2C">
      <w:pPr>
        <w:ind w:left="374" w:hanging="374"/>
        <w:jc w:val="both"/>
        <w:rPr>
          <w:rFonts w:cs="Arial"/>
          <w:b/>
          <w:bCs/>
          <w:szCs w:val="24"/>
        </w:rPr>
      </w:pPr>
    </w:p>
    <w:p w:rsidR="00003303" w:rsidRPr="00CF6FAC" w:rsidRDefault="00003303" w:rsidP="00007E2C">
      <w:pPr>
        <w:ind w:left="374" w:hanging="374"/>
        <w:jc w:val="both"/>
        <w:rPr>
          <w:rFonts w:cs="Arial"/>
          <w:b/>
          <w:bCs/>
          <w:szCs w:val="24"/>
        </w:rPr>
      </w:pPr>
    </w:p>
    <w:p w:rsidR="00007E2C" w:rsidRPr="00CF6FAC" w:rsidRDefault="006A70E6" w:rsidP="006A70E6">
      <w:pPr>
        <w:jc w:val="both"/>
      </w:pPr>
      <w:r w:rsidRPr="00CF6FAC">
        <w:rPr>
          <w:rFonts w:cs="Arial"/>
          <w:szCs w:val="24"/>
        </w:rPr>
        <w:t>The ratio of total financing costs against net revenue stream increases significantly between 201</w:t>
      </w:r>
      <w:r w:rsidR="003E0CB8" w:rsidRPr="00CF6FAC">
        <w:rPr>
          <w:rFonts w:cs="Arial"/>
          <w:szCs w:val="24"/>
        </w:rPr>
        <w:t>7</w:t>
      </w:r>
      <w:r w:rsidRPr="00CF6FAC">
        <w:rPr>
          <w:rFonts w:cs="Arial"/>
          <w:szCs w:val="24"/>
        </w:rPr>
        <w:t>-1</w:t>
      </w:r>
      <w:r w:rsidR="003E0CB8" w:rsidRPr="00CF6FAC">
        <w:rPr>
          <w:rFonts w:cs="Arial"/>
          <w:szCs w:val="24"/>
        </w:rPr>
        <w:t>8</w:t>
      </w:r>
      <w:r w:rsidRPr="00CF6FAC">
        <w:rPr>
          <w:rFonts w:cs="Arial"/>
          <w:szCs w:val="24"/>
        </w:rPr>
        <w:t xml:space="preserve"> and 20</w:t>
      </w:r>
      <w:r w:rsidR="003E0CB8" w:rsidRPr="00CF6FAC">
        <w:rPr>
          <w:rFonts w:cs="Arial"/>
          <w:szCs w:val="24"/>
        </w:rPr>
        <w:t>20</w:t>
      </w:r>
      <w:r w:rsidRPr="00CF6FAC">
        <w:rPr>
          <w:rFonts w:cs="Arial"/>
          <w:szCs w:val="24"/>
        </w:rPr>
        <w:t>-2</w:t>
      </w:r>
      <w:r w:rsidR="003E0CB8" w:rsidRPr="00CF6FAC">
        <w:rPr>
          <w:rFonts w:cs="Arial"/>
          <w:szCs w:val="24"/>
        </w:rPr>
        <w:t>1</w:t>
      </w:r>
      <w:r w:rsidRPr="00CF6FAC">
        <w:rPr>
          <w:rFonts w:cs="Arial"/>
          <w:szCs w:val="24"/>
        </w:rPr>
        <w:t xml:space="preserve"> due to the impact of the capital programme and the increase in MRP.</w:t>
      </w:r>
    </w:p>
    <w:p w:rsidR="00007E2C" w:rsidRPr="00CF6FAC" w:rsidRDefault="00007E2C" w:rsidP="00007E2C">
      <w:pPr>
        <w:ind w:left="426" w:hanging="426"/>
        <w:jc w:val="both"/>
      </w:pPr>
    </w:p>
    <w:p w:rsidR="00007E2C" w:rsidRPr="00CF6FAC" w:rsidRDefault="00007E2C" w:rsidP="00007E2C">
      <w:pPr>
        <w:jc w:val="both"/>
        <w:rPr>
          <w:rFonts w:cs="Arial"/>
          <w:bCs/>
        </w:rPr>
      </w:pPr>
    </w:p>
    <w:p w:rsidR="00007E2C" w:rsidRDefault="00007E2C" w:rsidP="00007E2C">
      <w:pPr>
        <w:ind w:left="374" w:hanging="374"/>
        <w:jc w:val="both"/>
        <w:rPr>
          <w:rFonts w:cs="Arial"/>
          <w:b/>
          <w:bCs/>
          <w:szCs w:val="24"/>
        </w:rPr>
      </w:pPr>
      <w:r w:rsidRPr="00CF6FAC">
        <w:rPr>
          <w:rFonts w:cs="Arial"/>
          <w:b/>
          <w:bCs/>
          <w:szCs w:val="24"/>
        </w:rPr>
        <w:t>Table 1</w:t>
      </w:r>
      <w:r w:rsidR="001D7DC7" w:rsidRPr="00CF6FAC">
        <w:rPr>
          <w:rFonts w:cs="Arial"/>
          <w:b/>
          <w:bCs/>
          <w:szCs w:val="24"/>
        </w:rPr>
        <w:t>3</w:t>
      </w:r>
      <w:r w:rsidRPr="00CF6FAC">
        <w:rPr>
          <w:rFonts w:cs="Arial"/>
          <w:b/>
          <w:bCs/>
          <w:szCs w:val="24"/>
        </w:rPr>
        <w:t xml:space="preserve"> Ratio of Financing Costs to Revenue Stream – HRA</w:t>
      </w:r>
    </w:p>
    <w:p w:rsidR="00E33999" w:rsidRPr="00674018" w:rsidRDefault="00E33999" w:rsidP="00007E2C">
      <w:pPr>
        <w:ind w:left="374" w:hanging="374"/>
        <w:jc w:val="both"/>
        <w:rPr>
          <w:rFonts w:cs="Arial"/>
          <w:b/>
          <w:bCs/>
          <w:szCs w:val="24"/>
        </w:rPr>
      </w:pPr>
    </w:p>
    <w:p w:rsidR="00007E2C" w:rsidRPr="00674018" w:rsidRDefault="006032CC" w:rsidP="00007E2C">
      <w:pPr>
        <w:ind w:left="374" w:hanging="374"/>
        <w:jc w:val="both"/>
        <w:rPr>
          <w:rFonts w:cs="Arial"/>
          <w:b/>
          <w:bCs/>
          <w:szCs w:val="24"/>
          <w:u w:val="single"/>
        </w:rPr>
      </w:pPr>
      <w:r w:rsidRPr="006032CC">
        <w:rPr>
          <w:noProof/>
          <w:lang w:eastAsia="en-GB"/>
        </w:rPr>
        <w:drawing>
          <wp:inline distT="0" distB="0" distL="0" distR="0" wp14:anchorId="431A4D86" wp14:editId="631CEF02">
            <wp:extent cx="5276215" cy="1640164"/>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6215" cy="1640164"/>
                    </a:xfrm>
                    <a:prstGeom prst="rect">
                      <a:avLst/>
                    </a:prstGeom>
                    <a:noFill/>
                    <a:ln>
                      <a:noFill/>
                    </a:ln>
                  </pic:spPr>
                </pic:pic>
              </a:graphicData>
            </a:graphic>
          </wp:inline>
        </w:drawing>
      </w:r>
    </w:p>
    <w:p w:rsidR="00007E2C" w:rsidRPr="00674018" w:rsidRDefault="00007E2C" w:rsidP="00007E2C">
      <w:pPr>
        <w:jc w:val="both"/>
      </w:pPr>
    </w:p>
    <w:p w:rsidR="00007E2C" w:rsidRDefault="00007E2C" w:rsidP="00007E2C">
      <w:pPr>
        <w:jc w:val="both"/>
        <w:rPr>
          <w:rFonts w:cs="Arial"/>
          <w:szCs w:val="24"/>
        </w:rPr>
      </w:pPr>
      <w:r>
        <w:rPr>
          <w:rFonts w:cs="Arial"/>
          <w:szCs w:val="24"/>
        </w:rPr>
        <w:t>The ratio of total financing costs (excluding depreciation and impairment) against net revenue stream shows a gradual increase due largely to the mandatory reduction in dwelling rent and the reduction of interest income due to reducing balances on the revenue account and Major Repairs reserve.</w:t>
      </w:r>
    </w:p>
    <w:p w:rsidR="00007E2C" w:rsidRPr="00674018" w:rsidRDefault="00007E2C" w:rsidP="00007E2C">
      <w:pPr>
        <w:jc w:val="both"/>
        <w:rPr>
          <w:rFonts w:cs="Arial"/>
          <w:szCs w:val="24"/>
        </w:rPr>
      </w:pPr>
    </w:p>
    <w:p w:rsidR="00007E2C" w:rsidRDefault="00007E2C" w:rsidP="00007E2C">
      <w:pPr>
        <w:ind w:left="284" w:hanging="284"/>
        <w:jc w:val="both"/>
        <w:rPr>
          <w:rFonts w:cs="Arial"/>
          <w:b/>
          <w:bCs/>
          <w:szCs w:val="24"/>
        </w:rPr>
      </w:pPr>
    </w:p>
    <w:p w:rsidR="00DE2968" w:rsidRDefault="00DE2968">
      <w:pPr>
        <w:rPr>
          <w:rFonts w:cs="Arial"/>
          <w:b/>
          <w:bCs/>
          <w:sz w:val="28"/>
          <w:szCs w:val="28"/>
        </w:rPr>
      </w:pPr>
      <w:r>
        <w:rPr>
          <w:rFonts w:cs="Arial"/>
          <w:b/>
          <w:bCs/>
          <w:sz w:val="28"/>
          <w:szCs w:val="28"/>
        </w:rPr>
        <w:br w:type="page"/>
      </w:r>
    </w:p>
    <w:p w:rsidR="00007E2C" w:rsidRPr="00650028" w:rsidRDefault="00007E2C" w:rsidP="00007E2C">
      <w:pPr>
        <w:ind w:left="284" w:hanging="284"/>
        <w:jc w:val="both"/>
        <w:rPr>
          <w:rFonts w:cs="Arial"/>
          <w:b/>
          <w:bCs/>
          <w:iCs/>
          <w:sz w:val="28"/>
          <w:szCs w:val="28"/>
        </w:rPr>
      </w:pPr>
      <w:r w:rsidRPr="00CF6FAC">
        <w:rPr>
          <w:rFonts w:cs="Arial"/>
          <w:b/>
          <w:bCs/>
          <w:sz w:val="28"/>
          <w:szCs w:val="28"/>
        </w:rPr>
        <w:lastRenderedPageBreak/>
        <w:t>2 Incremental Impact of Capital Investment Decisions on Council Tax and Housing Rents</w:t>
      </w:r>
    </w:p>
    <w:p w:rsidR="00007E2C" w:rsidRPr="00DA2B16" w:rsidRDefault="00007E2C" w:rsidP="00007E2C">
      <w:pPr>
        <w:jc w:val="both"/>
        <w:rPr>
          <w:rFonts w:cs="Arial"/>
          <w:b/>
          <w:iCs/>
          <w:szCs w:val="24"/>
        </w:rPr>
      </w:pPr>
    </w:p>
    <w:p w:rsidR="00007E2C" w:rsidRPr="00DA2B16" w:rsidRDefault="00007E2C" w:rsidP="00007E2C">
      <w:pPr>
        <w:jc w:val="both"/>
        <w:rPr>
          <w:szCs w:val="24"/>
        </w:rPr>
      </w:pPr>
      <w:r w:rsidRPr="00DA2B16">
        <w:rPr>
          <w:szCs w:val="24"/>
        </w:rPr>
        <w:t>This indicator identifies the revenue costs associated with proposed capital programme and the impact on Council Tax and Housing Rents.</w:t>
      </w:r>
    </w:p>
    <w:p w:rsidR="00007E2C" w:rsidRDefault="00007E2C" w:rsidP="00007E2C">
      <w:pPr>
        <w:jc w:val="both"/>
        <w:rPr>
          <w:rFonts w:cs="Arial"/>
          <w:b/>
          <w:iCs/>
          <w:szCs w:val="24"/>
        </w:rPr>
      </w:pPr>
    </w:p>
    <w:p w:rsidR="00007E2C" w:rsidRPr="00CF6FAC" w:rsidRDefault="00007E2C" w:rsidP="00007E2C">
      <w:pPr>
        <w:jc w:val="both"/>
        <w:rPr>
          <w:rFonts w:cs="Arial"/>
          <w:b/>
          <w:bCs/>
        </w:rPr>
      </w:pPr>
      <w:r w:rsidRPr="00CF6FAC">
        <w:rPr>
          <w:rFonts w:cs="Arial"/>
          <w:b/>
          <w:bCs/>
        </w:rPr>
        <w:t>Table 1</w:t>
      </w:r>
      <w:r w:rsidR="001D7DC7" w:rsidRPr="00CF6FAC">
        <w:rPr>
          <w:rFonts w:cs="Arial"/>
          <w:b/>
          <w:bCs/>
        </w:rPr>
        <w:t>4</w:t>
      </w:r>
      <w:r w:rsidRPr="00CF6FAC">
        <w:rPr>
          <w:rFonts w:cs="Arial"/>
          <w:b/>
          <w:bCs/>
        </w:rPr>
        <w:t xml:space="preserve"> Incremental Impact of Capital Investment Decisions</w:t>
      </w:r>
      <w:r w:rsidR="00231887" w:rsidRPr="00CF6FAC">
        <w:rPr>
          <w:rFonts w:cs="Arial"/>
          <w:b/>
          <w:bCs/>
        </w:rPr>
        <w:t xml:space="preserve"> (excluding Regeneration)</w:t>
      </w:r>
      <w:r w:rsidRPr="00CF6FAC">
        <w:rPr>
          <w:rFonts w:cs="Arial"/>
          <w:b/>
          <w:bCs/>
        </w:rPr>
        <w:t xml:space="preserve"> – Council Tax</w:t>
      </w:r>
    </w:p>
    <w:p w:rsidR="00231887" w:rsidRPr="00CF6FAC" w:rsidRDefault="00231887" w:rsidP="00007E2C">
      <w:pPr>
        <w:jc w:val="both"/>
        <w:rPr>
          <w:rFonts w:cs="Arial"/>
          <w:b/>
          <w:bCs/>
        </w:rPr>
      </w:pPr>
    </w:p>
    <w:p w:rsidR="00007E2C" w:rsidRPr="00CF6FAC" w:rsidRDefault="006B161D" w:rsidP="00007E2C">
      <w:pPr>
        <w:jc w:val="both"/>
        <w:rPr>
          <w:rFonts w:cs="Arial"/>
          <w:b/>
          <w:bCs/>
          <w:u w:val="single"/>
        </w:rPr>
      </w:pPr>
      <w:r w:rsidRPr="006B161D">
        <w:rPr>
          <w:noProof/>
          <w:lang w:eastAsia="en-GB"/>
        </w:rPr>
        <w:drawing>
          <wp:inline distT="0" distB="0" distL="0" distR="0" wp14:anchorId="772E88A8" wp14:editId="4F3D9349">
            <wp:extent cx="5276215" cy="1709974"/>
            <wp:effectExtent l="0" t="0" r="635"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6215" cy="1709974"/>
                    </a:xfrm>
                    <a:prstGeom prst="rect">
                      <a:avLst/>
                    </a:prstGeom>
                    <a:noFill/>
                    <a:ln>
                      <a:noFill/>
                    </a:ln>
                  </pic:spPr>
                </pic:pic>
              </a:graphicData>
            </a:graphic>
          </wp:inline>
        </w:drawing>
      </w:r>
    </w:p>
    <w:p w:rsidR="00007E2C" w:rsidRPr="00CF6FAC" w:rsidRDefault="00007E2C" w:rsidP="00007E2C">
      <w:pPr>
        <w:jc w:val="both"/>
        <w:rPr>
          <w:rFonts w:cs="Arial"/>
          <w:bCs/>
        </w:rPr>
      </w:pPr>
    </w:p>
    <w:p w:rsidR="00007E2C" w:rsidRPr="00CF6FAC" w:rsidRDefault="00007E2C" w:rsidP="00007E2C">
      <w:pPr>
        <w:jc w:val="both"/>
        <w:rPr>
          <w:szCs w:val="24"/>
        </w:rPr>
      </w:pPr>
    </w:p>
    <w:p w:rsidR="00007E2C" w:rsidRPr="00CF6FAC" w:rsidRDefault="00007E2C" w:rsidP="00007E2C">
      <w:pPr>
        <w:jc w:val="both"/>
        <w:rPr>
          <w:rFonts w:cs="Arial"/>
          <w:b/>
          <w:bCs/>
        </w:rPr>
      </w:pPr>
      <w:r w:rsidRPr="00CF6FAC">
        <w:rPr>
          <w:rFonts w:cs="Arial"/>
          <w:b/>
          <w:bCs/>
        </w:rPr>
        <w:t>Table 1</w:t>
      </w:r>
      <w:r w:rsidR="001D7DC7" w:rsidRPr="00CF6FAC">
        <w:rPr>
          <w:rFonts w:cs="Arial"/>
          <w:b/>
          <w:bCs/>
        </w:rPr>
        <w:t>5</w:t>
      </w:r>
      <w:r w:rsidRPr="00CF6FAC">
        <w:rPr>
          <w:rFonts w:cs="Arial"/>
          <w:b/>
          <w:bCs/>
        </w:rPr>
        <w:t xml:space="preserve"> Incremental Impact of Capital Investment Decisions – Housing Rents</w:t>
      </w:r>
    </w:p>
    <w:p w:rsidR="00007E2C" w:rsidRPr="00CF6FAC" w:rsidRDefault="00007E2C" w:rsidP="00007E2C">
      <w:pPr>
        <w:jc w:val="both"/>
        <w:rPr>
          <w:rFonts w:cs="Arial"/>
          <w:b/>
          <w:bCs/>
          <w:u w:val="single"/>
        </w:rPr>
      </w:pPr>
    </w:p>
    <w:p w:rsidR="00007E2C" w:rsidRPr="00705FA9" w:rsidRDefault="00133B17" w:rsidP="00007E2C">
      <w:pPr>
        <w:jc w:val="both"/>
        <w:rPr>
          <w:rFonts w:cs="Arial"/>
          <w:b/>
          <w:bCs/>
          <w:u w:val="single"/>
        </w:rPr>
      </w:pPr>
      <w:r w:rsidRPr="00CF6FAC">
        <w:rPr>
          <w:noProof/>
          <w:lang w:eastAsia="en-GB"/>
        </w:rPr>
        <w:drawing>
          <wp:inline distT="0" distB="0" distL="0" distR="0" wp14:anchorId="2EC17A4D" wp14:editId="4F7DAFAB">
            <wp:extent cx="5275580" cy="8540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5580" cy="854075"/>
                    </a:xfrm>
                    <a:prstGeom prst="rect">
                      <a:avLst/>
                    </a:prstGeom>
                    <a:noFill/>
                    <a:ln>
                      <a:noFill/>
                    </a:ln>
                  </pic:spPr>
                </pic:pic>
              </a:graphicData>
            </a:graphic>
          </wp:inline>
        </w:drawing>
      </w:r>
    </w:p>
    <w:p w:rsidR="00007E2C" w:rsidRPr="00DA2B16" w:rsidRDefault="00007E2C" w:rsidP="00007E2C">
      <w:pPr>
        <w:jc w:val="both"/>
        <w:rPr>
          <w:rFonts w:cs="Arial"/>
          <w:bCs/>
        </w:rPr>
      </w:pPr>
    </w:p>
    <w:p w:rsidR="00007E2C" w:rsidRPr="00650028" w:rsidRDefault="00007E2C" w:rsidP="00007E2C">
      <w:pPr>
        <w:jc w:val="both"/>
        <w:rPr>
          <w:rFonts w:cs="Arial"/>
          <w:b/>
          <w:bCs/>
          <w:sz w:val="28"/>
          <w:szCs w:val="28"/>
        </w:rPr>
      </w:pPr>
      <w:r w:rsidRPr="00650028">
        <w:rPr>
          <w:rFonts w:cs="Arial"/>
          <w:b/>
          <w:bCs/>
          <w:sz w:val="28"/>
          <w:szCs w:val="28"/>
        </w:rPr>
        <w:t>3 Local HRA indicators</w:t>
      </w:r>
    </w:p>
    <w:p w:rsidR="00007E2C" w:rsidRPr="00650028" w:rsidRDefault="00007E2C" w:rsidP="00007E2C">
      <w:pPr>
        <w:ind w:left="374" w:hanging="374"/>
        <w:jc w:val="both"/>
        <w:rPr>
          <w:rFonts w:cs="Arial"/>
          <w:b/>
          <w:bCs/>
          <w:sz w:val="28"/>
          <w:szCs w:val="28"/>
        </w:rPr>
      </w:pPr>
    </w:p>
    <w:p w:rsidR="00007E2C" w:rsidRPr="00DA2B16" w:rsidRDefault="00007E2C" w:rsidP="00007E2C">
      <w:pPr>
        <w:jc w:val="both"/>
        <w:rPr>
          <w:rFonts w:cs="Arial"/>
          <w:bCs/>
          <w:szCs w:val="24"/>
        </w:rPr>
      </w:pPr>
      <w:r w:rsidRPr="00DA2B16">
        <w:rPr>
          <w:rFonts w:cs="Arial"/>
          <w:bCs/>
          <w:szCs w:val="24"/>
        </w:rPr>
        <w:t xml:space="preserve">The Council should also be aware of the following ratios when making its treasury management decisions. </w:t>
      </w:r>
    </w:p>
    <w:p w:rsidR="00007E2C" w:rsidRPr="00DA2B16" w:rsidRDefault="00007E2C" w:rsidP="00007E2C">
      <w:pPr>
        <w:ind w:left="374" w:hanging="374"/>
        <w:jc w:val="both"/>
        <w:rPr>
          <w:rFonts w:cs="Arial"/>
          <w:b/>
          <w:bCs/>
          <w:szCs w:val="24"/>
          <w:u w:val="single"/>
        </w:rPr>
      </w:pPr>
    </w:p>
    <w:p w:rsidR="00007E2C" w:rsidRPr="00650028" w:rsidRDefault="00007E2C" w:rsidP="00007E2C">
      <w:pPr>
        <w:ind w:left="374" w:hanging="374"/>
        <w:jc w:val="both"/>
        <w:rPr>
          <w:rFonts w:cs="Arial"/>
          <w:b/>
          <w:bCs/>
          <w:szCs w:val="24"/>
        </w:rPr>
      </w:pPr>
      <w:r w:rsidRPr="00650028">
        <w:rPr>
          <w:rFonts w:cs="Arial"/>
          <w:b/>
          <w:bCs/>
          <w:szCs w:val="24"/>
        </w:rPr>
        <w:t>Table 1</w:t>
      </w:r>
      <w:r w:rsidR="001D7DC7">
        <w:rPr>
          <w:rFonts w:cs="Arial"/>
          <w:b/>
          <w:bCs/>
          <w:szCs w:val="24"/>
        </w:rPr>
        <w:t>6</w:t>
      </w:r>
      <w:r w:rsidRPr="00650028">
        <w:rPr>
          <w:rFonts w:cs="Arial"/>
          <w:b/>
          <w:bCs/>
          <w:szCs w:val="24"/>
        </w:rPr>
        <w:t xml:space="preserve"> HRA Ratios</w:t>
      </w:r>
    </w:p>
    <w:p w:rsidR="00007E2C" w:rsidRPr="00DA2B16" w:rsidRDefault="00007E2C" w:rsidP="00007E2C">
      <w:pPr>
        <w:ind w:left="374" w:hanging="374"/>
        <w:jc w:val="both"/>
        <w:rPr>
          <w:rFonts w:cs="Arial"/>
          <w:b/>
          <w:bCs/>
          <w:szCs w:val="24"/>
          <w:u w:val="single"/>
        </w:rPr>
      </w:pPr>
    </w:p>
    <w:p w:rsidR="00007E2C" w:rsidRDefault="006B161D" w:rsidP="00007E2C">
      <w:r w:rsidRPr="006B161D">
        <w:rPr>
          <w:noProof/>
          <w:lang w:eastAsia="en-GB"/>
        </w:rPr>
        <w:drawing>
          <wp:inline distT="0" distB="0" distL="0" distR="0" wp14:anchorId="1F290A1E" wp14:editId="0475DD85">
            <wp:extent cx="5276215" cy="755028"/>
            <wp:effectExtent l="0" t="0" r="635"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6215" cy="755028"/>
                    </a:xfrm>
                    <a:prstGeom prst="rect">
                      <a:avLst/>
                    </a:prstGeom>
                    <a:noFill/>
                    <a:ln>
                      <a:noFill/>
                    </a:ln>
                  </pic:spPr>
                </pic:pic>
              </a:graphicData>
            </a:graphic>
          </wp:inline>
        </w:drawing>
      </w:r>
    </w:p>
    <w:p w:rsidR="00007E2C" w:rsidRDefault="00007E2C" w:rsidP="00007E2C">
      <w:pPr>
        <w:rPr>
          <w:rFonts w:cs="Arial"/>
          <w:szCs w:val="24"/>
        </w:rPr>
      </w:pPr>
    </w:p>
    <w:p w:rsidR="007F72D3" w:rsidRDefault="00007E2C" w:rsidP="00007E2C">
      <w:pPr>
        <w:jc w:val="both"/>
        <w:rPr>
          <w:rFonts w:cs="Arial"/>
          <w:szCs w:val="24"/>
        </w:rPr>
      </w:pPr>
      <w:r w:rsidRPr="0081761C">
        <w:rPr>
          <w:rFonts w:cs="Arial"/>
          <w:szCs w:val="24"/>
        </w:rPr>
        <w:t>Rents in the Housing Revenue Account are projected to reduce by 1% each year for four years commencing in 2016/17, in line with the provisions of the Welfare Reform and Work Act. The reduction in income is expected to be mitigated over the next two years by additional rent income generated as a result of an increase in HRA property numbers from the Council’s HRA new build and purchase and repair programmes.</w:t>
      </w:r>
    </w:p>
    <w:sectPr w:rsidR="007F72D3" w:rsidSect="001E3C06">
      <w:headerReference w:type="default" r:id="rId26"/>
      <w:headerReference w:type="first" r:id="rId27"/>
      <w:footerReference w:type="first" r:id="rId28"/>
      <w:pgSz w:w="11909" w:h="16834" w:code="9"/>
      <w:pgMar w:top="720" w:right="1800" w:bottom="1152"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E17" w:rsidRDefault="00E33E17">
      <w:r>
        <w:separator/>
      </w:r>
    </w:p>
  </w:endnote>
  <w:endnote w:type="continuationSeparator" w:id="0">
    <w:p w:rsidR="00E33E17" w:rsidRDefault="00E3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CPAFB D+ Optima">
    <w:altName w:val="Optima"/>
    <w:panose1 w:val="00000000000000000000"/>
    <w:charset w:val="00"/>
    <w:family w:val="swiss"/>
    <w:notTrueType/>
    <w:pitch w:val="default"/>
    <w:sig w:usb0="00000003" w:usb1="00000000" w:usb2="00000000" w:usb3="00000000" w:csb0="00000001" w:csb1="00000000"/>
  </w:font>
  <w:font w:name="TTC6E5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17" w:rsidRDefault="00E33E17" w:rsidP="005C387C">
    <w:pPr>
      <w:pStyle w:val="Footer"/>
      <w:tabs>
        <w:tab w:val="clear" w:pos="4153"/>
        <w:tab w:val="clear" w:pos="8306"/>
        <w:tab w:val="left" w:pos="3550"/>
      </w:tabs>
    </w:pPr>
    <w:r>
      <w:rPr>
        <w:noProof/>
        <w:lang w:val="en-GB" w:eastAsia="en-GB"/>
      </w:rPr>
      <w:drawing>
        <wp:anchor distT="0" distB="0" distL="114300" distR="114300" simplePos="0" relativeHeight="251658240" behindDoc="0" locked="1" layoutInCell="1" allowOverlap="0" wp14:anchorId="0C66C806" wp14:editId="5E145450">
          <wp:simplePos x="0" y="0"/>
          <wp:positionH relativeFrom="column">
            <wp:posOffset>133350</wp:posOffset>
          </wp:positionH>
          <wp:positionV relativeFrom="page">
            <wp:posOffset>9152890</wp:posOffset>
          </wp:positionV>
          <wp:extent cx="7258050" cy="1306195"/>
          <wp:effectExtent l="0" t="0" r="0" b="8255"/>
          <wp:wrapSquare wrapText="bothSides"/>
          <wp:docPr id="17" name="Picture 17" descr="Ribb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bbon_black"/>
                  <pic:cNvPicPr>
                    <a:picLocks noChangeAspect="1" noChangeArrowheads="1"/>
                  </pic:cNvPicPr>
                </pic:nvPicPr>
                <pic:blipFill>
                  <a:blip r:embed="rId1">
                    <a:extLst>
                      <a:ext uri="{28A0092B-C50C-407E-A947-70E740481C1C}">
                        <a14:useLocalDpi xmlns:a14="http://schemas.microsoft.com/office/drawing/2010/main" val="0"/>
                      </a:ext>
                    </a:extLst>
                  </a:blip>
                  <a:srcRect b="23915"/>
                  <a:stretch>
                    <a:fillRect/>
                  </a:stretch>
                </pic:blipFill>
                <pic:spPr bwMode="auto">
                  <a:xfrm>
                    <a:off x="0" y="0"/>
                    <a:ext cx="7258050" cy="1306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17" w:rsidRPr="008C69F5" w:rsidRDefault="00E33E17" w:rsidP="00A53B04">
    <w:pPr>
      <w:pStyle w:val="Footer"/>
      <w:jc w:val="right"/>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E17" w:rsidRDefault="00E33E17">
      <w:r>
        <w:separator/>
      </w:r>
    </w:p>
  </w:footnote>
  <w:footnote w:type="continuationSeparator" w:id="0">
    <w:p w:rsidR="00E33E17" w:rsidRDefault="00E33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17" w:rsidRPr="006032CC" w:rsidRDefault="00E33E17" w:rsidP="00603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17" w:rsidRDefault="00E33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start w:val="1"/>
      <w:numFmt w:val="bullet"/>
      <w:lvlText w:val=""/>
      <w:legacy w:legacy="1" w:legacySpace="0" w:legacyIndent="284"/>
      <w:lvlJc w:val="left"/>
      <w:pPr>
        <w:ind w:left="1004" w:hanging="284"/>
      </w:pPr>
      <w:rPr>
        <w:rFonts w:ascii="Symbol" w:hAnsi="Symbol" w:hint="default"/>
      </w:rPr>
    </w:lvl>
  </w:abstractNum>
  <w:abstractNum w:abstractNumId="1">
    <w:nsid w:val="041A1B38"/>
    <w:multiLevelType w:val="hybridMultilevel"/>
    <w:tmpl w:val="AF9CA39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8965C0"/>
    <w:multiLevelType w:val="hybridMultilevel"/>
    <w:tmpl w:val="6A5E27B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357" w:hanging="360"/>
      </w:pPr>
      <w:rPr>
        <w:rFonts w:ascii="Courier New" w:hAnsi="Courier New" w:hint="default"/>
      </w:rPr>
    </w:lvl>
    <w:lvl w:ilvl="2" w:tplc="08090005" w:tentative="1">
      <w:start w:val="1"/>
      <w:numFmt w:val="bullet"/>
      <w:lvlText w:val=""/>
      <w:lvlJc w:val="left"/>
      <w:pPr>
        <w:ind w:left="363" w:hanging="360"/>
      </w:pPr>
      <w:rPr>
        <w:rFonts w:ascii="Wingdings" w:hAnsi="Wingdings" w:hint="default"/>
      </w:rPr>
    </w:lvl>
    <w:lvl w:ilvl="3" w:tplc="08090001">
      <w:start w:val="1"/>
      <w:numFmt w:val="bullet"/>
      <w:lvlText w:val=""/>
      <w:lvlJc w:val="left"/>
      <w:pPr>
        <w:ind w:left="1083" w:hanging="360"/>
      </w:pPr>
      <w:rPr>
        <w:rFonts w:ascii="Symbol" w:hAnsi="Symbol" w:hint="default"/>
      </w:rPr>
    </w:lvl>
    <w:lvl w:ilvl="4" w:tplc="08090003" w:tentative="1">
      <w:start w:val="1"/>
      <w:numFmt w:val="bullet"/>
      <w:lvlText w:val="o"/>
      <w:lvlJc w:val="left"/>
      <w:pPr>
        <w:ind w:left="1803" w:hanging="360"/>
      </w:pPr>
      <w:rPr>
        <w:rFonts w:ascii="Courier New" w:hAnsi="Courier New" w:hint="default"/>
      </w:rPr>
    </w:lvl>
    <w:lvl w:ilvl="5" w:tplc="08090005" w:tentative="1">
      <w:start w:val="1"/>
      <w:numFmt w:val="bullet"/>
      <w:lvlText w:val=""/>
      <w:lvlJc w:val="left"/>
      <w:pPr>
        <w:ind w:left="2523" w:hanging="360"/>
      </w:pPr>
      <w:rPr>
        <w:rFonts w:ascii="Wingdings" w:hAnsi="Wingdings" w:hint="default"/>
      </w:rPr>
    </w:lvl>
    <w:lvl w:ilvl="6" w:tplc="08090001" w:tentative="1">
      <w:start w:val="1"/>
      <w:numFmt w:val="bullet"/>
      <w:lvlText w:val=""/>
      <w:lvlJc w:val="left"/>
      <w:pPr>
        <w:ind w:left="3243" w:hanging="360"/>
      </w:pPr>
      <w:rPr>
        <w:rFonts w:ascii="Symbol" w:hAnsi="Symbol" w:hint="default"/>
      </w:rPr>
    </w:lvl>
    <w:lvl w:ilvl="7" w:tplc="08090003" w:tentative="1">
      <w:start w:val="1"/>
      <w:numFmt w:val="bullet"/>
      <w:lvlText w:val="o"/>
      <w:lvlJc w:val="left"/>
      <w:pPr>
        <w:ind w:left="3963" w:hanging="360"/>
      </w:pPr>
      <w:rPr>
        <w:rFonts w:ascii="Courier New" w:hAnsi="Courier New" w:hint="default"/>
      </w:rPr>
    </w:lvl>
    <w:lvl w:ilvl="8" w:tplc="08090005" w:tentative="1">
      <w:start w:val="1"/>
      <w:numFmt w:val="bullet"/>
      <w:lvlText w:val=""/>
      <w:lvlJc w:val="left"/>
      <w:pPr>
        <w:ind w:left="4683" w:hanging="360"/>
      </w:pPr>
      <w:rPr>
        <w:rFonts w:ascii="Wingdings" w:hAnsi="Wingdings" w:hint="default"/>
      </w:rPr>
    </w:lvl>
  </w:abstractNum>
  <w:abstractNum w:abstractNumId="3">
    <w:nsid w:val="0F77691D"/>
    <w:multiLevelType w:val="hybridMultilevel"/>
    <w:tmpl w:val="7818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87531"/>
    <w:multiLevelType w:val="hybridMultilevel"/>
    <w:tmpl w:val="EFEE0022"/>
    <w:lvl w:ilvl="0" w:tplc="61847EB6">
      <w:start w:val="3"/>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1702082"/>
    <w:multiLevelType w:val="hybridMultilevel"/>
    <w:tmpl w:val="FC5A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5B7003"/>
    <w:multiLevelType w:val="hybridMultilevel"/>
    <w:tmpl w:val="DDAE11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B71177"/>
    <w:multiLevelType w:val="hybridMultilevel"/>
    <w:tmpl w:val="979A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4C4349"/>
    <w:multiLevelType w:val="multilevel"/>
    <w:tmpl w:val="15A0EE3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2F3E2F"/>
    <w:multiLevelType w:val="hybridMultilevel"/>
    <w:tmpl w:val="35381636"/>
    <w:lvl w:ilvl="0" w:tplc="E35AA636">
      <w:start w:val="1"/>
      <w:numFmt w:val="decimal"/>
      <w:lvlText w:val="%1."/>
      <w:lvlJc w:val="left"/>
      <w:pPr>
        <w:tabs>
          <w:tab w:val="num" w:pos="567"/>
        </w:tabs>
        <w:ind w:left="567" w:hanging="567"/>
      </w:pPr>
      <w:rPr>
        <w:rFonts w:hint="default"/>
      </w:rPr>
    </w:lvl>
    <w:lvl w:ilvl="1" w:tplc="BE4AA97A">
      <w:start w:val="1"/>
      <w:numFmt w:val="bullet"/>
      <w:lvlText w:val=""/>
      <w:lvlJc w:val="left"/>
      <w:pPr>
        <w:tabs>
          <w:tab w:val="num" w:pos="567"/>
        </w:tabs>
        <w:ind w:left="56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615343"/>
    <w:multiLevelType w:val="hybridMultilevel"/>
    <w:tmpl w:val="E7D0D7CA"/>
    <w:lvl w:ilvl="0" w:tplc="E3B05C1E">
      <w:start w:val="1"/>
      <w:numFmt w:val="bullet"/>
      <w:lvlText w:val=""/>
      <w:lvlJc w:val="left"/>
      <w:pPr>
        <w:tabs>
          <w:tab w:val="num" w:pos="1080"/>
        </w:tabs>
        <w:ind w:left="108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1DE7BAD"/>
    <w:multiLevelType w:val="hybridMultilevel"/>
    <w:tmpl w:val="D07CB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A45013"/>
    <w:multiLevelType w:val="hybridMultilevel"/>
    <w:tmpl w:val="757EFA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8EA60FD"/>
    <w:multiLevelType w:val="multilevel"/>
    <w:tmpl w:val="3FA055F4"/>
    <w:lvl w:ilvl="0">
      <w:start w:val="1"/>
      <w:numFmt w:val="decimal"/>
      <w:lvlText w:val="%1."/>
      <w:lvlJc w:val="left"/>
      <w:pPr>
        <w:ind w:left="928"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4">
    <w:nsid w:val="2A037B9E"/>
    <w:multiLevelType w:val="hybridMultilevel"/>
    <w:tmpl w:val="425C3F24"/>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5">
    <w:nsid w:val="2A302697"/>
    <w:multiLevelType w:val="hybridMultilevel"/>
    <w:tmpl w:val="2DFC6670"/>
    <w:lvl w:ilvl="0" w:tplc="C166DA24">
      <w:start w:val="1"/>
      <w:numFmt w:val="bullet"/>
      <w:lvlText w:val=""/>
      <w:lvlJc w:val="left"/>
      <w:pPr>
        <w:ind w:left="720" w:hanging="360"/>
      </w:pPr>
      <w:rPr>
        <w:rFonts w:ascii="Symbol" w:hAnsi="Symbol" w:hint="default"/>
      </w:rPr>
    </w:lvl>
    <w:lvl w:ilvl="1" w:tplc="8A06832A"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nsid w:val="2DC0607D"/>
    <w:multiLevelType w:val="hybridMultilevel"/>
    <w:tmpl w:val="E9527F8C"/>
    <w:lvl w:ilvl="0" w:tplc="A5D099DA">
      <w:start w:val="1"/>
      <w:numFmt w:val="bullet"/>
      <w:lvlText w:val=""/>
      <w:lvlJc w:val="left"/>
      <w:pPr>
        <w:tabs>
          <w:tab w:val="num" w:pos="1980"/>
        </w:tabs>
        <w:ind w:left="1980" w:hanging="360"/>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2E66EAA"/>
    <w:multiLevelType w:val="hybridMultilevel"/>
    <w:tmpl w:val="89AC0E14"/>
    <w:lvl w:ilvl="0" w:tplc="DFEE6D38">
      <w:start w:val="1"/>
      <w:numFmt w:val="lowerLetter"/>
      <w:lvlText w:val="(%1)"/>
      <w:lvlJc w:val="left"/>
      <w:pPr>
        <w:tabs>
          <w:tab w:val="num" w:pos="1134"/>
        </w:tabs>
        <w:ind w:left="1134" w:hanging="567"/>
      </w:pPr>
      <w:rPr>
        <w:rFonts w:hint="default"/>
      </w:rPr>
    </w:lvl>
    <w:lvl w:ilvl="1" w:tplc="08090001">
      <w:start w:val="1"/>
      <w:numFmt w:val="bullet"/>
      <w:lvlText w:val=""/>
      <w:lvlJc w:val="left"/>
      <w:pPr>
        <w:tabs>
          <w:tab w:val="num" w:pos="1287"/>
        </w:tabs>
        <w:ind w:left="1287" w:hanging="360"/>
      </w:pPr>
      <w:rPr>
        <w:rFonts w:ascii="Symbol" w:hAnsi="Symbol" w:hint="default"/>
      </w:rPr>
    </w:lvl>
    <w:lvl w:ilvl="2" w:tplc="D17AAF6A">
      <w:start w:val="1"/>
      <w:numFmt w:val="bullet"/>
      <w:lvlText w:val=""/>
      <w:lvlJc w:val="left"/>
      <w:pPr>
        <w:tabs>
          <w:tab w:val="num" w:pos="1134"/>
        </w:tabs>
        <w:ind w:left="1134" w:hanging="567"/>
      </w:pPr>
      <w:rPr>
        <w:rFonts w:ascii="Symbol" w:hAnsi="Symbol" w:hint="default"/>
      </w:rPr>
    </w:lvl>
    <w:lvl w:ilvl="3" w:tplc="798C8972">
      <w:start w:val="1"/>
      <w:numFmt w:val="lowerLetter"/>
      <w:lvlText w:val="%4)"/>
      <w:lvlJc w:val="left"/>
      <w:pPr>
        <w:tabs>
          <w:tab w:val="num" w:pos="1134"/>
        </w:tabs>
        <w:ind w:left="1134" w:hanging="567"/>
      </w:pPr>
      <w:rPr>
        <w:rFonts w:hint="default"/>
      </w:rPr>
    </w:lvl>
    <w:lvl w:ilvl="4" w:tplc="EA287D7A">
      <w:start w:val="23"/>
      <w:numFmt w:val="decimal"/>
      <w:lvlText w:val="%5."/>
      <w:lvlJc w:val="left"/>
      <w:pPr>
        <w:tabs>
          <w:tab w:val="num" w:pos="567"/>
        </w:tabs>
        <w:ind w:left="567" w:hanging="567"/>
      </w:pPr>
      <w:rPr>
        <w:rFonts w:hint="default"/>
      </w:rPr>
    </w:lvl>
    <w:lvl w:ilvl="5" w:tplc="4330D7A2">
      <w:start w:val="1"/>
      <w:numFmt w:val="bullet"/>
      <w:lvlText w:val=""/>
      <w:lvlJc w:val="left"/>
      <w:pPr>
        <w:tabs>
          <w:tab w:val="num" w:pos="1134"/>
        </w:tabs>
        <w:ind w:left="1134" w:hanging="567"/>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B42887"/>
    <w:multiLevelType w:val="hybridMultilevel"/>
    <w:tmpl w:val="3F588E5A"/>
    <w:lvl w:ilvl="0" w:tplc="08090001">
      <w:start w:val="1"/>
      <w:numFmt w:val="bullet"/>
      <w:lvlText w:val=""/>
      <w:lvlJc w:val="left"/>
      <w:pPr>
        <w:tabs>
          <w:tab w:val="num" w:pos="1287"/>
        </w:tabs>
        <w:ind w:left="1287" w:hanging="360"/>
      </w:pPr>
      <w:rPr>
        <w:rFonts w:ascii="Symbol" w:hAnsi="Symbol" w:hint="default"/>
      </w:rPr>
    </w:lvl>
    <w:lvl w:ilvl="1" w:tplc="08090001">
      <w:start w:val="1"/>
      <w:numFmt w:val="bullet"/>
      <w:lvlText w:val=""/>
      <w:lvlJc w:val="left"/>
      <w:pPr>
        <w:tabs>
          <w:tab w:val="num" w:pos="1287"/>
        </w:tabs>
        <w:ind w:left="1287" w:hanging="360"/>
      </w:pPr>
      <w:rPr>
        <w:rFonts w:ascii="Symbol" w:hAnsi="Symbo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9">
    <w:nsid w:val="35AC47F2"/>
    <w:multiLevelType w:val="hybridMultilevel"/>
    <w:tmpl w:val="84622A44"/>
    <w:lvl w:ilvl="0" w:tplc="84CC0224">
      <w:start w:val="1"/>
      <w:numFmt w:val="bullet"/>
      <w:lvlText w:val=""/>
      <w:lvlJc w:val="left"/>
      <w:pPr>
        <w:tabs>
          <w:tab w:val="num" w:pos="720"/>
        </w:tabs>
        <w:ind w:left="720" w:hanging="360"/>
      </w:pPr>
      <w:rPr>
        <w:rFonts w:ascii="Symbol" w:hAnsi="Symbol" w:hint="default"/>
        <w:color w:val="auto"/>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9A36DE3"/>
    <w:multiLevelType w:val="hybridMultilevel"/>
    <w:tmpl w:val="1BF29872"/>
    <w:lvl w:ilvl="0" w:tplc="96E09FB2">
      <w:start w:val="13"/>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1">
    <w:nsid w:val="3F4D1F84"/>
    <w:multiLevelType w:val="multilevel"/>
    <w:tmpl w:val="7B5E379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1907A96"/>
    <w:multiLevelType w:val="hybridMultilevel"/>
    <w:tmpl w:val="A5A8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A04196"/>
    <w:multiLevelType w:val="multilevel"/>
    <w:tmpl w:val="EBACA656"/>
    <w:lvl w:ilvl="0">
      <w:start w:val="1"/>
      <w:numFmt w:val="decimal"/>
      <w:pStyle w:val="ChapterHeading"/>
      <w:lvlText w:val="%1"/>
      <w:lvlJc w:val="left"/>
      <w:pPr>
        <w:ind w:left="502" w:hanging="360"/>
      </w:pPr>
      <w:rPr>
        <w:rFonts w:cs="Times New Roman" w:hint="default"/>
        <w:b/>
        <w:color w:val="auto"/>
        <w:sz w:val="32"/>
        <w:szCs w:val="32"/>
      </w:rPr>
    </w:lvl>
    <w:lvl w:ilvl="1">
      <w:start w:val="1"/>
      <w:numFmt w:val="decimal"/>
      <w:pStyle w:val="Subheading"/>
      <w:isLgl/>
      <w:lvlText w:val="%1.%2"/>
      <w:lvlJc w:val="left"/>
      <w:pPr>
        <w:ind w:left="502" w:hanging="360"/>
      </w:pPr>
      <w:rPr>
        <w:rFonts w:cs="Times New Roman" w:hint="default"/>
        <w:sz w:val="28"/>
        <w:szCs w:val="28"/>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490463C3"/>
    <w:multiLevelType w:val="hybridMultilevel"/>
    <w:tmpl w:val="D8DAB1D8"/>
    <w:lvl w:ilvl="0" w:tplc="08090001">
      <w:start w:val="1"/>
      <w:numFmt w:val="bullet"/>
      <w:lvlText w:val=""/>
      <w:lvlJc w:val="left"/>
      <w:pPr>
        <w:tabs>
          <w:tab w:val="num" w:pos="1320"/>
        </w:tabs>
        <w:ind w:left="1320" w:hanging="360"/>
      </w:pPr>
      <w:rPr>
        <w:rFonts w:ascii="Symbol" w:hAnsi="Symbol" w:hint="default"/>
      </w:rPr>
    </w:lvl>
    <w:lvl w:ilvl="1" w:tplc="08090003">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25">
    <w:nsid w:val="4A846157"/>
    <w:multiLevelType w:val="hybridMultilevel"/>
    <w:tmpl w:val="33966E9C"/>
    <w:lvl w:ilvl="0" w:tplc="0809000F">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1B">
      <w:start w:val="1"/>
      <w:numFmt w:val="bullet"/>
      <w:lvlText w:val=""/>
      <w:lvlJc w:val="left"/>
      <w:pPr>
        <w:ind w:left="2160" w:hanging="360"/>
      </w:pPr>
      <w:rPr>
        <w:rFonts w:ascii="Wingdings" w:hAnsi="Wingdings" w:hint="default"/>
      </w:rPr>
    </w:lvl>
    <w:lvl w:ilvl="3" w:tplc="0809000F">
      <w:start w:val="1"/>
      <w:numFmt w:val="bullet"/>
      <w:lvlText w:val=""/>
      <w:lvlJc w:val="left"/>
      <w:pPr>
        <w:ind w:left="2880" w:hanging="360"/>
      </w:pPr>
      <w:rPr>
        <w:rFonts w:ascii="Symbol" w:hAnsi="Symbol" w:hint="default"/>
      </w:rPr>
    </w:lvl>
    <w:lvl w:ilvl="4" w:tplc="08090019">
      <w:start w:val="1"/>
      <w:numFmt w:val="bullet"/>
      <w:lvlText w:val="o"/>
      <w:lvlJc w:val="left"/>
      <w:pPr>
        <w:ind w:left="3600" w:hanging="360"/>
      </w:pPr>
      <w:rPr>
        <w:rFonts w:ascii="Courier New" w:hAnsi="Courier New" w:cs="Times New Roman" w:hint="default"/>
      </w:rPr>
    </w:lvl>
    <w:lvl w:ilvl="5" w:tplc="0809001B">
      <w:start w:val="1"/>
      <w:numFmt w:val="bullet"/>
      <w:lvlText w:val=""/>
      <w:lvlJc w:val="left"/>
      <w:pPr>
        <w:ind w:left="4320" w:hanging="360"/>
      </w:pPr>
      <w:rPr>
        <w:rFonts w:ascii="Wingdings" w:hAnsi="Wingdings" w:hint="default"/>
      </w:rPr>
    </w:lvl>
    <w:lvl w:ilvl="6" w:tplc="0809000F">
      <w:start w:val="1"/>
      <w:numFmt w:val="bullet"/>
      <w:lvlText w:val=""/>
      <w:lvlJc w:val="left"/>
      <w:pPr>
        <w:ind w:left="5040" w:hanging="360"/>
      </w:pPr>
      <w:rPr>
        <w:rFonts w:ascii="Symbol" w:hAnsi="Symbol" w:hint="default"/>
      </w:rPr>
    </w:lvl>
    <w:lvl w:ilvl="7" w:tplc="08090019">
      <w:start w:val="1"/>
      <w:numFmt w:val="bullet"/>
      <w:lvlText w:val="o"/>
      <w:lvlJc w:val="left"/>
      <w:pPr>
        <w:ind w:left="5760" w:hanging="360"/>
      </w:pPr>
      <w:rPr>
        <w:rFonts w:ascii="Courier New" w:hAnsi="Courier New" w:cs="Times New Roman" w:hint="default"/>
      </w:rPr>
    </w:lvl>
    <w:lvl w:ilvl="8" w:tplc="0809001B">
      <w:start w:val="1"/>
      <w:numFmt w:val="bullet"/>
      <w:lvlText w:val=""/>
      <w:lvlJc w:val="left"/>
      <w:pPr>
        <w:ind w:left="6480" w:hanging="360"/>
      </w:pPr>
      <w:rPr>
        <w:rFonts w:ascii="Wingdings" w:hAnsi="Wingdings" w:hint="default"/>
      </w:rPr>
    </w:lvl>
  </w:abstractNum>
  <w:abstractNum w:abstractNumId="26">
    <w:nsid w:val="4B5954C0"/>
    <w:multiLevelType w:val="hybridMultilevel"/>
    <w:tmpl w:val="663214A6"/>
    <w:lvl w:ilvl="0" w:tplc="DFEE6D38">
      <w:start w:val="1"/>
      <w:numFmt w:val="lowerLetter"/>
      <w:lvlText w:val="(%1)"/>
      <w:lvlJc w:val="left"/>
      <w:pPr>
        <w:tabs>
          <w:tab w:val="num" w:pos="1134"/>
        </w:tabs>
        <w:ind w:left="1134" w:hanging="567"/>
      </w:pPr>
      <w:rPr>
        <w:rFonts w:hint="default"/>
      </w:rPr>
    </w:lvl>
    <w:lvl w:ilvl="1" w:tplc="08090001">
      <w:start w:val="1"/>
      <w:numFmt w:val="bullet"/>
      <w:lvlText w:val=""/>
      <w:lvlJc w:val="left"/>
      <w:pPr>
        <w:tabs>
          <w:tab w:val="num" w:pos="1287"/>
        </w:tabs>
        <w:ind w:left="1287" w:hanging="360"/>
      </w:pPr>
      <w:rPr>
        <w:rFonts w:ascii="Symbol" w:hAnsi="Symbol" w:hint="default"/>
      </w:rPr>
    </w:lvl>
    <w:lvl w:ilvl="2" w:tplc="D17AAF6A">
      <w:start w:val="1"/>
      <w:numFmt w:val="bullet"/>
      <w:lvlText w:val=""/>
      <w:lvlJc w:val="left"/>
      <w:pPr>
        <w:tabs>
          <w:tab w:val="num" w:pos="1134"/>
        </w:tabs>
        <w:ind w:left="1134" w:hanging="567"/>
      </w:pPr>
      <w:rPr>
        <w:rFonts w:ascii="Symbol" w:hAnsi="Symbol" w:hint="default"/>
      </w:rPr>
    </w:lvl>
    <w:lvl w:ilvl="3" w:tplc="798C8972">
      <w:start w:val="1"/>
      <w:numFmt w:val="lowerLetter"/>
      <w:lvlText w:val="%4)"/>
      <w:lvlJc w:val="left"/>
      <w:pPr>
        <w:tabs>
          <w:tab w:val="num" w:pos="1134"/>
        </w:tabs>
        <w:ind w:left="1134" w:hanging="567"/>
      </w:pPr>
      <w:rPr>
        <w:rFonts w:hint="default"/>
      </w:rPr>
    </w:lvl>
    <w:lvl w:ilvl="4" w:tplc="EA287D7A">
      <w:start w:val="23"/>
      <w:numFmt w:val="decimal"/>
      <w:lvlText w:val="%5."/>
      <w:lvlJc w:val="left"/>
      <w:pPr>
        <w:tabs>
          <w:tab w:val="num" w:pos="567"/>
        </w:tabs>
        <w:ind w:left="567" w:hanging="567"/>
      </w:pPr>
      <w:rPr>
        <w:rFonts w:hint="default"/>
      </w:rPr>
    </w:lvl>
    <w:lvl w:ilvl="5" w:tplc="4330D7A2">
      <w:start w:val="1"/>
      <w:numFmt w:val="bullet"/>
      <w:lvlText w:val=""/>
      <w:lvlJc w:val="left"/>
      <w:pPr>
        <w:tabs>
          <w:tab w:val="num" w:pos="1134"/>
        </w:tabs>
        <w:ind w:left="1134" w:hanging="567"/>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1A1674"/>
    <w:multiLevelType w:val="hybridMultilevel"/>
    <w:tmpl w:val="3B2A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864D7A"/>
    <w:multiLevelType w:val="hybridMultilevel"/>
    <w:tmpl w:val="206C5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425AE9"/>
    <w:multiLevelType w:val="hybridMultilevel"/>
    <w:tmpl w:val="6644AB7A"/>
    <w:lvl w:ilvl="0" w:tplc="C166DA24">
      <w:start w:val="1"/>
      <w:numFmt w:val="bullet"/>
      <w:pStyle w:val="ListParagraph"/>
      <w:lvlText w:val=""/>
      <w:lvlJc w:val="left"/>
      <w:pPr>
        <w:ind w:left="3272" w:hanging="360"/>
      </w:pPr>
      <w:rPr>
        <w:rFonts w:ascii="Symbol" w:hAnsi="Symbol" w:hint="default"/>
      </w:rPr>
    </w:lvl>
    <w:lvl w:ilvl="1" w:tplc="04090003" w:tentative="1">
      <w:start w:val="1"/>
      <w:numFmt w:val="bullet"/>
      <w:lvlText w:val="o"/>
      <w:lvlJc w:val="left"/>
      <w:pPr>
        <w:ind w:left="3992" w:hanging="360"/>
      </w:pPr>
      <w:rPr>
        <w:rFonts w:ascii="Courier New" w:hAnsi="Courier New" w:cs="Courier New" w:hint="default"/>
      </w:rPr>
    </w:lvl>
    <w:lvl w:ilvl="2" w:tplc="04090005" w:tentative="1">
      <w:start w:val="1"/>
      <w:numFmt w:val="bullet"/>
      <w:lvlText w:val=""/>
      <w:lvlJc w:val="left"/>
      <w:pPr>
        <w:ind w:left="4712" w:hanging="360"/>
      </w:pPr>
      <w:rPr>
        <w:rFonts w:ascii="Wingdings" w:hAnsi="Wingdings" w:hint="default"/>
      </w:rPr>
    </w:lvl>
    <w:lvl w:ilvl="3" w:tplc="04090001" w:tentative="1">
      <w:start w:val="1"/>
      <w:numFmt w:val="bullet"/>
      <w:lvlText w:val=""/>
      <w:lvlJc w:val="left"/>
      <w:pPr>
        <w:ind w:left="5432" w:hanging="360"/>
      </w:pPr>
      <w:rPr>
        <w:rFonts w:ascii="Symbol" w:hAnsi="Symbol" w:hint="default"/>
      </w:rPr>
    </w:lvl>
    <w:lvl w:ilvl="4" w:tplc="04090003" w:tentative="1">
      <w:start w:val="1"/>
      <w:numFmt w:val="bullet"/>
      <w:lvlText w:val="o"/>
      <w:lvlJc w:val="left"/>
      <w:pPr>
        <w:ind w:left="6152" w:hanging="360"/>
      </w:pPr>
      <w:rPr>
        <w:rFonts w:ascii="Courier New" w:hAnsi="Courier New" w:cs="Courier New" w:hint="default"/>
      </w:rPr>
    </w:lvl>
    <w:lvl w:ilvl="5" w:tplc="04090005" w:tentative="1">
      <w:start w:val="1"/>
      <w:numFmt w:val="bullet"/>
      <w:lvlText w:val=""/>
      <w:lvlJc w:val="left"/>
      <w:pPr>
        <w:ind w:left="6872" w:hanging="360"/>
      </w:pPr>
      <w:rPr>
        <w:rFonts w:ascii="Wingdings" w:hAnsi="Wingdings" w:hint="default"/>
      </w:rPr>
    </w:lvl>
    <w:lvl w:ilvl="6" w:tplc="04090001" w:tentative="1">
      <w:start w:val="1"/>
      <w:numFmt w:val="bullet"/>
      <w:lvlText w:val=""/>
      <w:lvlJc w:val="left"/>
      <w:pPr>
        <w:ind w:left="7592" w:hanging="360"/>
      </w:pPr>
      <w:rPr>
        <w:rFonts w:ascii="Symbol" w:hAnsi="Symbol" w:hint="default"/>
      </w:rPr>
    </w:lvl>
    <w:lvl w:ilvl="7" w:tplc="04090003" w:tentative="1">
      <w:start w:val="1"/>
      <w:numFmt w:val="bullet"/>
      <w:lvlText w:val="o"/>
      <w:lvlJc w:val="left"/>
      <w:pPr>
        <w:ind w:left="8312" w:hanging="360"/>
      </w:pPr>
      <w:rPr>
        <w:rFonts w:ascii="Courier New" w:hAnsi="Courier New" w:cs="Courier New" w:hint="default"/>
      </w:rPr>
    </w:lvl>
    <w:lvl w:ilvl="8" w:tplc="04090005" w:tentative="1">
      <w:start w:val="1"/>
      <w:numFmt w:val="bullet"/>
      <w:lvlText w:val=""/>
      <w:lvlJc w:val="left"/>
      <w:pPr>
        <w:ind w:left="9032" w:hanging="360"/>
      </w:pPr>
      <w:rPr>
        <w:rFonts w:ascii="Wingdings" w:hAnsi="Wingdings" w:hint="default"/>
      </w:rPr>
    </w:lvl>
  </w:abstractNum>
  <w:abstractNum w:abstractNumId="30">
    <w:nsid w:val="5D0F4331"/>
    <w:multiLevelType w:val="multilevel"/>
    <w:tmpl w:val="C3E6D29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0C940C0"/>
    <w:multiLevelType w:val="hybridMultilevel"/>
    <w:tmpl w:val="79A64AA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117B84"/>
    <w:multiLevelType w:val="hybridMultilevel"/>
    <w:tmpl w:val="D870DC3A"/>
    <w:lvl w:ilvl="0" w:tplc="A522A6CE">
      <w:start w:val="10"/>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15044B"/>
    <w:multiLevelType w:val="hybridMultilevel"/>
    <w:tmpl w:val="9642FD46"/>
    <w:lvl w:ilvl="0" w:tplc="0F1635CE">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927ECF"/>
    <w:multiLevelType w:val="multilevel"/>
    <w:tmpl w:val="1EB4313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95239EA"/>
    <w:multiLevelType w:val="multilevel"/>
    <w:tmpl w:val="EA322A40"/>
    <w:lvl w:ilvl="0">
      <w:start w:val="3"/>
      <w:numFmt w:val="decimal"/>
      <w:lvlText w:val="%1"/>
      <w:lvlJc w:val="left"/>
      <w:pPr>
        <w:tabs>
          <w:tab w:val="num" w:pos="405"/>
        </w:tabs>
        <w:ind w:left="405" w:hanging="4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ABC0326"/>
    <w:multiLevelType w:val="hybridMultilevel"/>
    <w:tmpl w:val="0AC0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DB254F"/>
    <w:multiLevelType w:val="hybridMultilevel"/>
    <w:tmpl w:val="B65685A6"/>
    <w:lvl w:ilvl="0" w:tplc="0BC02A8C">
      <w:start w:val="10"/>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0175F49"/>
    <w:multiLevelType w:val="hybridMultilevel"/>
    <w:tmpl w:val="734EEA44"/>
    <w:lvl w:ilvl="0" w:tplc="0809000F">
      <w:start w:val="7"/>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669"/>
        </w:tabs>
        <w:ind w:left="1669" w:hanging="360"/>
      </w:pPr>
    </w:lvl>
    <w:lvl w:ilvl="2" w:tplc="08090001">
      <w:start w:val="1"/>
      <w:numFmt w:val="bullet"/>
      <w:lvlText w:val=""/>
      <w:lvlJc w:val="left"/>
      <w:pPr>
        <w:tabs>
          <w:tab w:val="num" w:pos="2340"/>
        </w:tabs>
        <w:ind w:left="2340" w:hanging="360"/>
      </w:pPr>
      <w:rPr>
        <w:rFonts w:ascii="Symbol" w:hAnsi="Symbol" w:hint="default"/>
      </w:rPr>
    </w:lvl>
    <w:lvl w:ilvl="3" w:tplc="BDD8C1EC">
      <w:start w:val="36"/>
      <w:numFmt w:val="decimal"/>
      <w:lvlText w:val="%4"/>
      <w:lvlJc w:val="left"/>
      <w:pPr>
        <w:tabs>
          <w:tab w:val="num" w:pos="2791"/>
        </w:tabs>
        <w:ind w:left="2791"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0D01D6F"/>
    <w:multiLevelType w:val="multilevel"/>
    <w:tmpl w:val="C1E638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12E49FA"/>
    <w:multiLevelType w:val="hybridMultilevel"/>
    <w:tmpl w:val="6EAC3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40702C"/>
    <w:multiLevelType w:val="hybridMultilevel"/>
    <w:tmpl w:val="04CC7F42"/>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2">
    <w:nsid w:val="74036B0C"/>
    <w:multiLevelType w:val="hybridMultilevel"/>
    <w:tmpl w:val="E22429BC"/>
    <w:lvl w:ilvl="0" w:tplc="DFEE6D38">
      <w:start w:val="1"/>
      <w:numFmt w:val="lowerLetter"/>
      <w:lvlText w:val="(%1)"/>
      <w:lvlJc w:val="left"/>
      <w:pPr>
        <w:tabs>
          <w:tab w:val="num" w:pos="1134"/>
        </w:tabs>
        <w:ind w:left="1134" w:hanging="567"/>
      </w:pPr>
      <w:rPr>
        <w:rFonts w:hint="default"/>
      </w:rPr>
    </w:lvl>
    <w:lvl w:ilvl="1" w:tplc="08090001">
      <w:start w:val="1"/>
      <w:numFmt w:val="bullet"/>
      <w:lvlText w:val=""/>
      <w:lvlJc w:val="left"/>
      <w:pPr>
        <w:tabs>
          <w:tab w:val="num" w:pos="1287"/>
        </w:tabs>
        <w:ind w:left="1287" w:hanging="360"/>
      </w:pPr>
      <w:rPr>
        <w:rFonts w:ascii="Symbol" w:hAnsi="Symbol" w:hint="default"/>
      </w:rPr>
    </w:lvl>
    <w:lvl w:ilvl="2" w:tplc="D17AAF6A">
      <w:start w:val="1"/>
      <w:numFmt w:val="bullet"/>
      <w:lvlText w:val=""/>
      <w:lvlJc w:val="left"/>
      <w:pPr>
        <w:tabs>
          <w:tab w:val="num" w:pos="1134"/>
        </w:tabs>
        <w:ind w:left="1134" w:hanging="567"/>
      </w:pPr>
      <w:rPr>
        <w:rFonts w:ascii="Symbol" w:hAnsi="Symbol" w:hint="default"/>
      </w:rPr>
    </w:lvl>
    <w:lvl w:ilvl="3" w:tplc="798C8972">
      <w:start w:val="1"/>
      <w:numFmt w:val="lowerLetter"/>
      <w:lvlText w:val="%4)"/>
      <w:lvlJc w:val="left"/>
      <w:pPr>
        <w:tabs>
          <w:tab w:val="num" w:pos="1134"/>
        </w:tabs>
        <w:ind w:left="1134" w:hanging="567"/>
      </w:pPr>
      <w:rPr>
        <w:rFonts w:hint="default"/>
      </w:rPr>
    </w:lvl>
    <w:lvl w:ilvl="4" w:tplc="EA287D7A">
      <w:start w:val="23"/>
      <w:numFmt w:val="decimal"/>
      <w:lvlText w:val="%5."/>
      <w:lvlJc w:val="left"/>
      <w:pPr>
        <w:tabs>
          <w:tab w:val="num" w:pos="567"/>
        </w:tabs>
        <w:ind w:left="567" w:hanging="567"/>
      </w:pPr>
      <w:rPr>
        <w:rFonts w:hint="default"/>
      </w:rPr>
    </w:lvl>
    <w:lvl w:ilvl="5" w:tplc="4330D7A2">
      <w:start w:val="1"/>
      <w:numFmt w:val="bullet"/>
      <w:lvlText w:val=""/>
      <w:lvlJc w:val="left"/>
      <w:pPr>
        <w:tabs>
          <w:tab w:val="num" w:pos="1134"/>
        </w:tabs>
        <w:ind w:left="1134" w:hanging="567"/>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372452"/>
    <w:multiLevelType w:val="multilevel"/>
    <w:tmpl w:val="5F3E58EE"/>
    <w:lvl w:ilvl="0">
      <w:start w:val="3"/>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BCC04E1"/>
    <w:multiLevelType w:val="hybridMultilevel"/>
    <w:tmpl w:val="9498F57E"/>
    <w:lvl w:ilvl="0" w:tplc="08090001">
      <w:start w:val="1"/>
      <w:numFmt w:val="bullet"/>
      <w:lvlText w:val=""/>
      <w:lvlJc w:val="left"/>
      <w:pPr>
        <w:tabs>
          <w:tab w:val="num" w:pos="1667"/>
        </w:tabs>
        <w:ind w:left="1534" w:hanging="227"/>
      </w:pPr>
      <w:rPr>
        <w:rFonts w:ascii="Symbol" w:hAnsi="Symbol" w:hint="default"/>
        <w:color w:val="auto"/>
      </w:rPr>
    </w:lvl>
    <w:lvl w:ilvl="1" w:tplc="08090003">
      <w:start w:val="2"/>
      <w:numFmt w:val="bullet"/>
      <w:lvlText w:val="-"/>
      <w:lvlJc w:val="left"/>
      <w:pPr>
        <w:tabs>
          <w:tab w:val="num" w:pos="2387"/>
        </w:tabs>
        <w:ind w:left="2387" w:hanging="360"/>
      </w:pPr>
      <w:rPr>
        <w:rFonts w:ascii="Times New Roman" w:eastAsia="Times New Roman" w:hAnsi="Times New Roman" w:hint="default"/>
      </w:rPr>
    </w:lvl>
    <w:lvl w:ilvl="2" w:tplc="08090005">
      <w:start w:val="1"/>
      <w:numFmt w:val="lowerRoman"/>
      <w:lvlText w:val="%3."/>
      <w:lvlJc w:val="right"/>
      <w:pPr>
        <w:tabs>
          <w:tab w:val="num" w:pos="3107"/>
        </w:tabs>
        <w:ind w:left="3107" w:hanging="180"/>
      </w:pPr>
      <w:rPr>
        <w:rFonts w:cs="Times New Roman"/>
      </w:rPr>
    </w:lvl>
    <w:lvl w:ilvl="3" w:tplc="08090001">
      <w:start w:val="1"/>
      <w:numFmt w:val="decimal"/>
      <w:lvlText w:val="%4."/>
      <w:lvlJc w:val="left"/>
      <w:pPr>
        <w:tabs>
          <w:tab w:val="num" w:pos="3827"/>
        </w:tabs>
        <w:ind w:left="3827" w:hanging="360"/>
      </w:pPr>
      <w:rPr>
        <w:rFonts w:cs="Times New Roman"/>
      </w:rPr>
    </w:lvl>
    <w:lvl w:ilvl="4" w:tplc="08090003">
      <w:start w:val="1"/>
      <w:numFmt w:val="lowerLetter"/>
      <w:lvlText w:val="%5."/>
      <w:lvlJc w:val="left"/>
      <w:pPr>
        <w:tabs>
          <w:tab w:val="num" w:pos="4547"/>
        </w:tabs>
        <w:ind w:left="4547" w:hanging="360"/>
      </w:pPr>
      <w:rPr>
        <w:rFonts w:cs="Times New Roman"/>
      </w:rPr>
    </w:lvl>
    <w:lvl w:ilvl="5" w:tplc="08090005">
      <w:start w:val="1"/>
      <w:numFmt w:val="lowerRoman"/>
      <w:lvlText w:val="%6."/>
      <w:lvlJc w:val="right"/>
      <w:pPr>
        <w:tabs>
          <w:tab w:val="num" w:pos="5267"/>
        </w:tabs>
        <w:ind w:left="5267" w:hanging="180"/>
      </w:pPr>
      <w:rPr>
        <w:rFonts w:cs="Times New Roman"/>
      </w:rPr>
    </w:lvl>
    <w:lvl w:ilvl="6" w:tplc="08090001">
      <w:start w:val="1"/>
      <w:numFmt w:val="decimal"/>
      <w:lvlText w:val="%7."/>
      <w:lvlJc w:val="left"/>
      <w:pPr>
        <w:tabs>
          <w:tab w:val="num" w:pos="5987"/>
        </w:tabs>
        <w:ind w:left="5987" w:hanging="360"/>
      </w:pPr>
      <w:rPr>
        <w:rFonts w:cs="Times New Roman"/>
      </w:rPr>
    </w:lvl>
    <w:lvl w:ilvl="7" w:tplc="08090003">
      <w:start w:val="1"/>
      <w:numFmt w:val="lowerLetter"/>
      <w:lvlText w:val="%8."/>
      <w:lvlJc w:val="left"/>
      <w:pPr>
        <w:tabs>
          <w:tab w:val="num" w:pos="6707"/>
        </w:tabs>
        <w:ind w:left="6707" w:hanging="360"/>
      </w:pPr>
      <w:rPr>
        <w:rFonts w:cs="Times New Roman"/>
      </w:rPr>
    </w:lvl>
    <w:lvl w:ilvl="8" w:tplc="08090005">
      <w:start w:val="1"/>
      <w:numFmt w:val="lowerRoman"/>
      <w:lvlText w:val="%9."/>
      <w:lvlJc w:val="right"/>
      <w:pPr>
        <w:tabs>
          <w:tab w:val="num" w:pos="7427"/>
        </w:tabs>
        <w:ind w:left="7427" w:hanging="180"/>
      </w:pPr>
      <w:rPr>
        <w:rFonts w:cs="Times New Roman"/>
      </w:rPr>
    </w:lvl>
  </w:abstractNum>
  <w:abstractNum w:abstractNumId="45">
    <w:nsid w:val="7C1E61B5"/>
    <w:multiLevelType w:val="multilevel"/>
    <w:tmpl w:val="2684ECC0"/>
    <w:lvl w:ilvl="0">
      <w:start w:val="1"/>
      <w:numFmt w:val="decimal"/>
      <w:lvlText w:val="%1"/>
      <w:lvlJc w:val="left"/>
      <w:pPr>
        <w:ind w:left="405" w:hanging="405"/>
      </w:pPr>
      <w:rPr>
        <w:rFonts w:hint="default"/>
        <w:sz w:val="28"/>
      </w:rPr>
    </w:lvl>
    <w:lvl w:ilvl="1">
      <w:start w:val="3"/>
      <w:numFmt w:val="decimal"/>
      <w:lvlText w:val="%1.%2"/>
      <w:lvlJc w:val="left"/>
      <w:pPr>
        <w:ind w:left="405" w:hanging="40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num w:numId="1">
    <w:abstractNumId w:val="29"/>
  </w:num>
  <w:num w:numId="2">
    <w:abstractNumId w:val="2"/>
  </w:num>
  <w:num w:numId="3">
    <w:abstractNumId w:val="1"/>
  </w:num>
  <w:num w:numId="4">
    <w:abstractNumId w:val="9"/>
  </w:num>
  <w:num w:numId="5">
    <w:abstractNumId w:val="16"/>
  </w:num>
  <w:num w:numId="6">
    <w:abstractNumId w:val="18"/>
  </w:num>
  <w:num w:numId="7">
    <w:abstractNumId w:val="42"/>
  </w:num>
  <w:num w:numId="8">
    <w:abstractNumId w:val="17"/>
  </w:num>
  <w:num w:numId="9">
    <w:abstractNumId w:val="26"/>
  </w:num>
  <w:num w:numId="10">
    <w:abstractNumId w:val="6"/>
  </w:num>
  <w:num w:numId="11">
    <w:abstractNumId w:val="41"/>
  </w:num>
  <w:num w:numId="12">
    <w:abstractNumId w:val="0"/>
    <w:lvlOverride w:ilvl="0">
      <w:lvl w:ilvl="0">
        <w:start w:val="1"/>
        <w:numFmt w:val="bullet"/>
        <w:lvlText w:val=""/>
        <w:legacy w:legacy="1" w:legacySpace="0" w:legacyIndent="284"/>
        <w:lvlJc w:val="left"/>
        <w:pPr>
          <w:ind w:left="1004" w:hanging="284"/>
        </w:pPr>
        <w:rPr>
          <w:rFonts w:ascii="Symbol" w:hAnsi="Symbol" w:hint="default"/>
          <w:sz w:val="16"/>
        </w:rPr>
      </w:lvl>
    </w:lvlOverride>
  </w:num>
  <w:num w:numId="13">
    <w:abstractNumId w:val="23"/>
  </w:num>
  <w:num w:numId="14">
    <w:abstractNumId w:val="34"/>
  </w:num>
  <w:num w:numId="15">
    <w:abstractNumId w:val="21"/>
  </w:num>
  <w:num w:numId="16">
    <w:abstractNumId w:val="38"/>
  </w:num>
  <w:num w:numId="17">
    <w:abstractNumId w:val="24"/>
  </w:num>
  <w:num w:numId="18">
    <w:abstractNumId w:val="8"/>
  </w:num>
  <w:num w:numId="19">
    <w:abstractNumId w:val="39"/>
  </w:num>
  <w:num w:numId="20">
    <w:abstractNumId w:val="35"/>
  </w:num>
  <w:num w:numId="21">
    <w:abstractNumId w:val="44"/>
  </w:num>
  <w:num w:numId="22">
    <w:abstractNumId w:val="19"/>
  </w:num>
  <w:num w:numId="23">
    <w:abstractNumId w:val="27"/>
  </w:num>
  <w:num w:numId="24">
    <w:abstractNumId w:val="40"/>
  </w:num>
  <w:num w:numId="25">
    <w:abstractNumId w:val="0"/>
    <w:lvlOverride w:ilvl="0">
      <w:lvl w:ilvl="0">
        <w:start w:val="1"/>
        <w:numFmt w:val="bullet"/>
        <w:lvlText w:val=""/>
        <w:legacy w:legacy="1" w:legacySpace="0" w:legacyIndent="283"/>
        <w:lvlJc w:val="left"/>
        <w:pPr>
          <w:ind w:left="709" w:hanging="283"/>
        </w:pPr>
        <w:rPr>
          <w:rFonts w:ascii="Symbol" w:hAnsi="Symbol" w:hint="default"/>
          <w:sz w:val="18"/>
        </w:rPr>
      </w:lvl>
    </w:lvlOverride>
  </w:num>
  <w:num w:numId="26">
    <w:abstractNumId w:val="36"/>
  </w:num>
  <w:num w:numId="27">
    <w:abstractNumId w:val="43"/>
  </w:num>
  <w:num w:numId="28">
    <w:abstractNumId w:val="25"/>
    <w:lvlOverride w:ilvl="0"/>
    <w:lvlOverride w:ilvl="1">
      <w:startOverride w:val="1"/>
    </w:lvlOverride>
    <w:lvlOverride w:ilvl="2"/>
    <w:lvlOverride w:ilvl="3"/>
    <w:lvlOverride w:ilvl="4"/>
    <w:lvlOverride w:ilvl="5"/>
    <w:lvlOverride w:ilvl="6"/>
    <w:lvlOverride w:ilvl="7"/>
    <w:lvlOverride w:ilvl="8"/>
  </w:num>
  <w:num w:numId="29">
    <w:abstractNumId w:val="2"/>
  </w:num>
  <w:num w:numId="30">
    <w:abstractNumId w:val="10"/>
  </w:num>
  <w:num w:numId="31">
    <w:abstractNumId w:val="28"/>
  </w:num>
  <w:num w:numId="32">
    <w:abstractNumId w:val="33"/>
  </w:num>
  <w:num w:numId="33">
    <w:abstractNumId w:val="7"/>
  </w:num>
  <w:num w:numId="34">
    <w:abstractNumId w:val="25"/>
  </w:num>
  <w:num w:numId="35">
    <w:abstractNumId w:val="15"/>
  </w:num>
  <w:num w:numId="36">
    <w:abstractNumId w:val="12"/>
  </w:num>
  <w:num w:numId="37">
    <w:abstractNumId w:val="22"/>
  </w:num>
  <w:num w:numId="38">
    <w:abstractNumId w:val="4"/>
  </w:num>
  <w:num w:numId="39">
    <w:abstractNumId w:val="32"/>
  </w:num>
  <w:num w:numId="40">
    <w:abstractNumId w:val="37"/>
  </w:num>
  <w:num w:numId="41">
    <w:abstractNumId w:val="5"/>
  </w:num>
  <w:num w:numId="42">
    <w:abstractNumId w:val="13"/>
  </w:num>
  <w:num w:numId="43">
    <w:abstractNumId w:val="30"/>
  </w:num>
  <w:num w:numId="44">
    <w:abstractNumId w:val="20"/>
  </w:num>
  <w:num w:numId="45">
    <w:abstractNumId w:val="45"/>
  </w:num>
  <w:num w:numId="46">
    <w:abstractNumId w:val="31"/>
  </w:num>
  <w:num w:numId="47">
    <w:abstractNumId w:val="14"/>
  </w:num>
  <w:num w:numId="48">
    <w:abstractNumId w:val="3"/>
  </w:num>
  <w:num w:numId="49">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0/01/2017 15:38"/>
  </w:docVars>
  <w:rsids>
    <w:rsidRoot w:val="00333FAA"/>
    <w:rsid w:val="0000089B"/>
    <w:rsid w:val="0000180A"/>
    <w:rsid w:val="00003303"/>
    <w:rsid w:val="00007E2C"/>
    <w:rsid w:val="00013141"/>
    <w:rsid w:val="00014C29"/>
    <w:rsid w:val="000209B6"/>
    <w:rsid w:val="000217A1"/>
    <w:rsid w:val="0002226B"/>
    <w:rsid w:val="00030EF3"/>
    <w:rsid w:val="00032259"/>
    <w:rsid w:val="00034417"/>
    <w:rsid w:val="0004029A"/>
    <w:rsid w:val="00043938"/>
    <w:rsid w:val="000450CA"/>
    <w:rsid w:val="000479FC"/>
    <w:rsid w:val="00057D2D"/>
    <w:rsid w:val="0006034E"/>
    <w:rsid w:val="000634AF"/>
    <w:rsid w:val="00063783"/>
    <w:rsid w:val="00063A4C"/>
    <w:rsid w:val="00073765"/>
    <w:rsid w:val="00092AC8"/>
    <w:rsid w:val="00093DAC"/>
    <w:rsid w:val="000945E3"/>
    <w:rsid w:val="00096E62"/>
    <w:rsid w:val="000977B9"/>
    <w:rsid w:val="000A5A96"/>
    <w:rsid w:val="000A62D8"/>
    <w:rsid w:val="000B788F"/>
    <w:rsid w:val="000C4C18"/>
    <w:rsid w:val="000C6445"/>
    <w:rsid w:val="000D3EFA"/>
    <w:rsid w:val="000E3F7E"/>
    <w:rsid w:val="000F133C"/>
    <w:rsid w:val="000F5730"/>
    <w:rsid w:val="00104B34"/>
    <w:rsid w:val="0011034E"/>
    <w:rsid w:val="0011523E"/>
    <w:rsid w:val="001161E4"/>
    <w:rsid w:val="00123B7B"/>
    <w:rsid w:val="00125A26"/>
    <w:rsid w:val="0013057F"/>
    <w:rsid w:val="00131230"/>
    <w:rsid w:val="00133B17"/>
    <w:rsid w:val="00135601"/>
    <w:rsid w:val="00135C05"/>
    <w:rsid w:val="00140C7F"/>
    <w:rsid w:val="00146434"/>
    <w:rsid w:val="001476E7"/>
    <w:rsid w:val="00152528"/>
    <w:rsid w:val="00152F17"/>
    <w:rsid w:val="001608BB"/>
    <w:rsid w:val="001656FC"/>
    <w:rsid w:val="00165E08"/>
    <w:rsid w:val="00181249"/>
    <w:rsid w:val="001825EB"/>
    <w:rsid w:val="001832B9"/>
    <w:rsid w:val="001840D2"/>
    <w:rsid w:val="0019002B"/>
    <w:rsid w:val="001966D7"/>
    <w:rsid w:val="001A6527"/>
    <w:rsid w:val="001B02EA"/>
    <w:rsid w:val="001B17EF"/>
    <w:rsid w:val="001B4C66"/>
    <w:rsid w:val="001B7261"/>
    <w:rsid w:val="001C4D2E"/>
    <w:rsid w:val="001C7E35"/>
    <w:rsid w:val="001D4FD2"/>
    <w:rsid w:val="001D69CF"/>
    <w:rsid w:val="001D7DC7"/>
    <w:rsid w:val="001E0563"/>
    <w:rsid w:val="001E2759"/>
    <w:rsid w:val="001E3C06"/>
    <w:rsid w:val="001F0BE9"/>
    <w:rsid w:val="00200DDB"/>
    <w:rsid w:val="00202D79"/>
    <w:rsid w:val="002039F4"/>
    <w:rsid w:val="00205D2F"/>
    <w:rsid w:val="00210AF0"/>
    <w:rsid w:val="00215E8F"/>
    <w:rsid w:val="0021700C"/>
    <w:rsid w:val="00223BFB"/>
    <w:rsid w:val="00224516"/>
    <w:rsid w:val="00231887"/>
    <w:rsid w:val="0023342B"/>
    <w:rsid w:val="00237A3D"/>
    <w:rsid w:val="002426B9"/>
    <w:rsid w:val="002451BF"/>
    <w:rsid w:val="00250961"/>
    <w:rsid w:val="002510AF"/>
    <w:rsid w:val="002548D1"/>
    <w:rsid w:val="0025645A"/>
    <w:rsid w:val="00276ED5"/>
    <w:rsid w:val="0028019B"/>
    <w:rsid w:val="00291CCE"/>
    <w:rsid w:val="00292F62"/>
    <w:rsid w:val="0029580F"/>
    <w:rsid w:val="002A53A2"/>
    <w:rsid w:val="002A66BD"/>
    <w:rsid w:val="002A6977"/>
    <w:rsid w:val="002B54A6"/>
    <w:rsid w:val="002E2E3A"/>
    <w:rsid w:val="002E361A"/>
    <w:rsid w:val="002E4629"/>
    <w:rsid w:val="002E6E7C"/>
    <w:rsid w:val="002E6F50"/>
    <w:rsid w:val="002F2183"/>
    <w:rsid w:val="002F3EE9"/>
    <w:rsid w:val="003015A2"/>
    <w:rsid w:val="00307AA4"/>
    <w:rsid w:val="0031342B"/>
    <w:rsid w:val="00316AC8"/>
    <w:rsid w:val="003178FF"/>
    <w:rsid w:val="00324C0E"/>
    <w:rsid w:val="00324F5E"/>
    <w:rsid w:val="0032751E"/>
    <w:rsid w:val="00330BAB"/>
    <w:rsid w:val="00333FAA"/>
    <w:rsid w:val="003355D7"/>
    <w:rsid w:val="00336403"/>
    <w:rsid w:val="00337215"/>
    <w:rsid w:val="00340FCD"/>
    <w:rsid w:val="00342D5F"/>
    <w:rsid w:val="00360A4C"/>
    <w:rsid w:val="0036172E"/>
    <w:rsid w:val="00361F4E"/>
    <w:rsid w:val="0036201C"/>
    <w:rsid w:val="003630B9"/>
    <w:rsid w:val="003702F6"/>
    <w:rsid w:val="00371375"/>
    <w:rsid w:val="0037182E"/>
    <w:rsid w:val="0037310D"/>
    <w:rsid w:val="003774F9"/>
    <w:rsid w:val="00387086"/>
    <w:rsid w:val="00390231"/>
    <w:rsid w:val="00391E96"/>
    <w:rsid w:val="003920BE"/>
    <w:rsid w:val="00396231"/>
    <w:rsid w:val="003A441F"/>
    <w:rsid w:val="003A45C2"/>
    <w:rsid w:val="003B447E"/>
    <w:rsid w:val="003D14D2"/>
    <w:rsid w:val="003D19D5"/>
    <w:rsid w:val="003D6FA0"/>
    <w:rsid w:val="003D7141"/>
    <w:rsid w:val="003D7BF8"/>
    <w:rsid w:val="003E0CB8"/>
    <w:rsid w:val="003E1A72"/>
    <w:rsid w:val="003E2033"/>
    <w:rsid w:val="003E2E40"/>
    <w:rsid w:val="003E4E5C"/>
    <w:rsid w:val="003F23C2"/>
    <w:rsid w:val="003F37B2"/>
    <w:rsid w:val="003F6383"/>
    <w:rsid w:val="004034FD"/>
    <w:rsid w:val="004076C8"/>
    <w:rsid w:val="0041109C"/>
    <w:rsid w:val="004149DB"/>
    <w:rsid w:val="00416ACE"/>
    <w:rsid w:val="00421497"/>
    <w:rsid w:val="00421A4C"/>
    <w:rsid w:val="00421D86"/>
    <w:rsid w:val="004245A4"/>
    <w:rsid w:val="004347A6"/>
    <w:rsid w:val="0043543F"/>
    <w:rsid w:val="004363F7"/>
    <w:rsid w:val="004411C9"/>
    <w:rsid w:val="00441EB3"/>
    <w:rsid w:val="004526C2"/>
    <w:rsid w:val="0045386C"/>
    <w:rsid w:val="00465A8C"/>
    <w:rsid w:val="004675D7"/>
    <w:rsid w:val="00471C1F"/>
    <w:rsid w:val="00472F79"/>
    <w:rsid w:val="00492744"/>
    <w:rsid w:val="004A5DE2"/>
    <w:rsid w:val="004B030E"/>
    <w:rsid w:val="004B7EA7"/>
    <w:rsid w:val="004C1500"/>
    <w:rsid w:val="004D025B"/>
    <w:rsid w:val="004D2DA0"/>
    <w:rsid w:val="004E14A4"/>
    <w:rsid w:val="004E549B"/>
    <w:rsid w:val="004F0C6E"/>
    <w:rsid w:val="004F148A"/>
    <w:rsid w:val="004F1C9C"/>
    <w:rsid w:val="004F5E06"/>
    <w:rsid w:val="004F7C0F"/>
    <w:rsid w:val="004F7FC0"/>
    <w:rsid w:val="00502E20"/>
    <w:rsid w:val="00512934"/>
    <w:rsid w:val="0051393D"/>
    <w:rsid w:val="005218FC"/>
    <w:rsid w:val="00532D5D"/>
    <w:rsid w:val="005354D0"/>
    <w:rsid w:val="00536293"/>
    <w:rsid w:val="005362B9"/>
    <w:rsid w:val="00540474"/>
    <w:rsid w:val="005415B4"/>
    <w:rsid w:val="005423B6"/>
    <w:rsid w:val="005456C4"/>
    <w:rsid w:val="0054590F"/>
    <w:rsid w:val="005546C5"/>
    <w:rsid w:val="00555AEE"/>
    <w:rsid w:val="0056030D"/>
    <w:rsid w:val="005718B5"/>
    <w:rsid w:val="00572317"/>
    <w:rsid w:val="00572B03"/>
    <w:rsid w:val="00577221"/>
    <w:rsid w:val="005808FB"/>
    <w:rsid w:val="005863A0"/>
    <w:rsid w:val="0059523A"/>
    <w:rsid w:val="00597CD4"/>
    <w:rsid w:val="005A0537"/>
    <w:rsid w:val="005A501F"/>
    <w:rsid w:val="005B0454"/>
    <w:rsid w:val="005B3F67"/>
    <w:rsid w:val="005B7E8B"/>
    <w:rsid w:val="005C387C"/>
    <w:rsid w:val="005C44AE"/>
    <w:rsid w:val="005C745F"/>
    <w:rsid w:val="005D3F4E"/>
    <w:rsid w:val="005D6EF5"/>
    <w:rsid w:val="005E3A10"/>
    <w:rsid w:val="005E7509"/>
    <w:rsid w:val="005F4E5C"/>
    <w:rsid w:val="00600369"/>
    <w:rsid w:val="006032CC"/>
    <w:rsid w:val="00611567"/>
    <w:rsid w:val="0061276D"/>
    <w:rsid w:val="00615C0C"/>
    <w:rsid w:val="00624B95"/>
    <w:rsid w:val="006266C8"/>
    <w:rsid w:val="00631435"/>
    <w:rsid w:val="00633A34"/>
    <w:rsid w:val="00636154"/>
    <w:rsid w:val="006374A4"/>
    <w:rsid w:val="00637E1F"/>
    <w:rsid w:val="00642721"/>
    <w:rsid w:val="00650028"/>
    <w:rsid w:val="006547E0"/>
    <w:rsid w:val="00655044"/>
    <w:rsid w:val="00664A50"/>
    <w:rsid w:val="00666029"/>
    <w:rsid w:val="006676C8"/>
    <w:rsid w:val="00670F17"/>
    <w:rsid w:val="006714CC"/>
    <w:rsid w:val="00671872"/>
    <w:rsid w:val="00671D58"/>
    <w:rsid w:val="00674018"/>
    <w:rsid w:val="00683338"/>
    <w:rsid w:val="00684C06"/>
    <w:rsid w:val="00696A83"/>
    <w:rsid w:val="0069781A"/>
    <w:rsid w:val="00697C87"/>
    <w:rsid w:val="006A116B"/>
    <w:rsid w:val="006A70E6"/>
    <w:rsid w:val="006A766D"/>
    <w:rsid w:val="006B161D"/>
    <w:rsid w:val="006B6DFA"/>
    <w:rsid w:val="006C04B3"/>
    <w:rsid w:val="006C2B69"/>
    <w:rsid w:val="006C5AA5"/>
    <w:rsid w:val="006C60F3"/>
    <w:rsid w:val="006D3AA3"/>
    <w:rsid w:val="006D5DA7"/>
    <w:rsid w:val="006E2081"/>
    <w:rsid w:val="006E2E87"/>
    <w:rsid w:val="006E67AB"/>
    <w:rsid w:val="006F057C"/>
    <w:rsid w:val="006F15C1"/>
    <w:rsid w:val="006F1818"/>
    <w:rsid w:val="006F182A"/>
    <w:rsid w:val="006F22DA"/>
    <w:rsid w:val="006F2EB3"/>
    <w:rsid w:val="006F3140"/>
    <w:rsid w:val="006F7300"/>
    <w:rsid w:val="006F7B39"/>
    <w:rsid w:val="00704B9A"/>
    <w:rsid w:val="00705FA9"/>
    <w:rsid w:val="007062A3"/>
    <w:rsid w:val="00706511"/>
    <w:rsid w:val="0070661F"/>
    <w:rsid w:val="007067E8"/>
    <w:rsid w:val="00706BA4"/>
    <w:rsid w:val="0071146E"/>
    <w:rsid w:val="00712F87"/>
    <w:rsid w:val="00714BEE"/>
    <w:rsid w:val="00715BDF"/>
    <w:rsid w:val="00721215"/>
    <w:rsid w:val="00722452"/>
    <w:rsid w:val="00724719"/>
    <w:rsid w:val="007318DD"/>
    <w:rsid w:val="007365EC"/>
    <w:rsid w:val="00740055"/>
    <w:rsid w:val="00743813"/>
    <w:rsid w:val="00745E4A"/>
    <w:rsid w:val="007570D5"/>
    <w:rsid w:val="00757FDA"/>
    <w:rsid w:val="007650B7"/>
    <w:rsid w:val="0077135F"/>
    <w:rsid w:val="0077757D"/>
    <w:rsid w:val="007828C1"/>
    <w:rsid w:val="00782E9E"/>
    <w:rsid w:val="00783D92"/>
    <w:rsid w:val="00786413"/>
    <w:rsid w:val="007A2071"/>
    <w:rsid w:val="007A3B7F"/>
    <w:rsid w:val="007A510B"/>
    <w:rsid w:val="007A61EC"/>
    <w:rsid w:val="007A64E8"/>
    <w:rsid w:val="007A74D5"/>
    <w:rsid w:val="007B23FC"/>
    <w:rsid w:val="007B3D79"/>
    <w:rsid w:val="007B5B36"/>
    <w:rsid w:val="007B6262"/>
    <w:rsid w:val="007B6E0F"/>
    <w:rsid w:val="007B732E"/>
    <w:rsid w:val="007C21A6"/>
    <w:rsid w:val="007C42E0"/>
    <w:rsid w:val="007D0573"/>
    <w:rsid w:val="007D0C1D"/>
    <w:rsid w:val="007D4DBF"/>
    <w:rsid w:val="007D50C2"/>
    <w:rsid w:val="007D7615"/>
    <w:rsid w:val="007E32F7"/>
    <w:rsid w:val="007E471E"/>
    <w:rsid w:val="007E4732"/>
    <w:rsid w:val="007E6B3F"/>
    <w:rsid w:val="007E6E00"/>
    <w:rsid w:val="007E767E"/>
    <w:rsid w:val="007F004E"/>
    <w:rsid w:val="007F0CE3"/>
    <w:rsid w:val="007F573B"/>
    <w:rsid w:val="007F710D"/>
    <w:rsid w:val="007F72D3"/>
    <w:rsid w:val="00802AC6"/>
    <w:rsid w:val="008052FB"/>
    <w:rsid w:val="00812901"/>
    <w:rsid w:val="00815B6E"/>
    <w:rsid w:val="0081761C"/>
    <w:rsid w:val="00822AC8"/>
    <w:rsid w:val="00823CFE"/>
    <w:rsid w:val="00826B9A"/>
    <w:rsid w:val="008277B4"/>
    <w:rsid w:val="00834F85"/>
    <w:rsid w:val="00846775"/>
    <w:rsid w:val="00854B7F"/>
    <w:rsid w:val="00854E12"/>
    <w:rsid w:val="008558A6"/>
    <w:rsid w:val="008607ED"/>
    <w:rsid w:val="0086348F"/>
    <w:rsid w:val="00867975"/>
    <w:rsid w:val="00872E23"/>
    <w:rsid w:val="00872F84"/>
    <w:rsid w:val="0087545B"/>
    <w:rsid w:val="008758E4"/>
    <w:rsid w:val="00881993"/>
    <w:rsid w:val="00884597"/>
    <w:rsid w:val="008C0239"/>
    <w:rsid w:val="008C25BC"/>
    <w:rsid w:val="008D0892"/>
    <w:rsid w:val="008D3302"/>
    <w:rsid w:val="008E224D"/>
    <w:rsid w:val="008E3265"/>
    <w:rsid w:val="00904003"/>
    <w:rsid w:val="00907A06"/>
    <w:rsid w:val="00910AC9"/>
    <w:rsid w:val="00912FFE"/>
    <w:rsid w:val="0091505E"/>
    <w:rsid w:val="00920606"/>
    <w:rsid w:val="00926167"/>
    <w:rsid w:val="00926AD9"/>
    <w:rsid w:val="00932F49"/>
    <w:rsid w:val="00955BAF"/>
    <w:rsid w:val="009608CE"/>
    <w:rsid w:val="009658A9"/>
    <w:rsid w:val="00971645"/>
    <w:rsid w:val="00981514"/>
    <w:rsid w:val="00990E9C"/>
    <w:rsid w:val="00993E15"/>
    <w:rsid w:val="0099473D"/>
    <w:rsid w:val="00997E4B"/>
    <w:rsid w:val="009A1951"/>
    <w:rsid w:val="009A2BBF"/>
    <w:rsid w:val="009A7A2D"/>
    <w:rsid w:val="009B022B"/>
    <w:rsid w:val="009B160B"/>
    <w:rsid w:val="009B34EB"/>
    <w:rsid w:val="009B3BBA"/>
    <w:rsid w:val="009B3D6D"/>
    <w:rsid w:val="009B5E6D"/>
    <w:rsid w:val="009C0428"/>
    <w:rsid w:val="009C7ACB"/>
    <w:rsid w:val="009D07FE"/>
    <w:rsid w:val="009D1E41"/>
    <w:rsid w:val="009D4757"/>
    <w:rsid w:val="009D4D1F"/>
    <w:rsid w:val="009D502F"/>
    <w:rsid w:val="009D5A1A"/>
    <w:rsid w:val="009E0017"/>
    <w:rsid w:val="009E2518"/>
    <w:rsid w:val="009E4413"/>
    <w:rsid w:val="009F11E6"/>
    <w:rsid w:val="009F54C3"/>
    <w:rsid w:val="00A017F5"/>
    <w:rsid w:val="00A02308"/>
    <w:rsid w:val="00A02AD7"/>
    <w:rsid w:val="00A20113"/>
    <w:rsid w:val="00A21334"/>
    <w:rsid w:val="00A22839"/>
    <w:rsid w:val="00A26631"/>
    <w:rsid w:val="00A3306A"/>
    <w:rsid w:val="00A33185"/>
    <w:rsid w:val="00A349B3"/>
    <w:rsid w:val="00A34CA5"/>
    <w:rsid w:val="00A40A90"/>
    <w:rsid w:val="00A4618C"/>
    <w:rsid w:val="00A51DFD"/>
    <w:rsid w:val="00A53B04"/>
    <w:rsid w:val="00A5699B"/>
    <w:rsid w:val="00A57572"/>
    <w:rsid w:val="00A60D91"/>
    <w:rsid w:val="00A646AD"/>
    <w:rsid w:val="00A664E4"/>
    <w:rsid w:val="00A714C4"/>
    <w:rsid w:val="00A7271A"/>
    <w:rsid w:val="00A85BC7"/>
    <w:rsid w:val="00A93D98"/>
    <w:rsid w:val="00A95238"/>
    <w:rsid w:val="00A9717D"/>
    <w:rsid w:val="00A9717E"/>
    <w:rsid w:val="00AA5BAA"/>
    <w:rsid w:val="00AA6570"/>
    <w:rsid w:val="00AB2B7D"/>
    <w:rsid w:val="00AB74F5"/>
    <w:rsid w:val="00AB795F"/>
    <w:rsid w:val="00AC2ACE"/>
    <w:rsid w:val="00AC6312"/>
    <w:rsid w:val="00AC702D"/>
    <w:rsid w:val="00AC7E65"/>
    <w:rsid w:val="00AD0E38"/>
    <w:rsid w:val="00AD7CD6"/>
    <w:rsid w:val="00AE5243"/>
    <w:rsid w:val="00AE638F"/>
    <w:rsid w:val="00AE7ADA"/>
    <w:rsid w:val="00AF33A5"/>
    <w:rsid w:val="00B0235A"/>
    <w:rsid w:val="00B1160D"/>
    <w:rsid w:val="00B16F51"/>
    <w:rsid w:val="00B30883"/>
    <w:rsid w:val="00B32254"/>
    <w:rsid w:val="00B34F35"/>
    <w:rsid w:val="00B3742C"/>
    <w:rsid w:val="00B41130"/>
    <w:rsid w:val="00B45CB0"/>
    <w:rsid w:val="00B535DE"/>
    <w:rsid w:val="00B53EFF"/>
    <w:rsid w:val="00B54AFA"/>
    <w:rsid w:val="00B60DAE"/>
    <w:rsid w:val="00B65AA8"/>
    <w:rsid w:val="00B66EC6"/>
    <w:rsid w:val="00B67382"/>
    <w:rsid w:val="00B73F15"/>
    <w:rsid w:val="00B804E8"/>
    <w:rsid w:val="00B8141B"/>
    <w:rsid w:val="00B81CD0"/>
    <w:rsid w:val="00B856E4"/>
    <w:rsid w:val="00B87B7B"/>
    <w:rsid w:val="00B93993"/>
    <w:rsid w:val="00B93CA0"/>
    <w:rsid w:val="00BA4115"/>
    <w:rsid w:val="00BA513B"/>
    <w:rsid w:val="00BB4A57"/>
    <w:rsid w:val="00BC206C"/>
    <w:rsid w:val="00BC4C71"/>
    <w:rsid w:val="00BC6A8D"/>
    <w:rsid w:val="00BC79DA"/>
    <w:rsid w:val="00BD35C4"/>
    <w:rsid w:val="00BD7E18"/>
    <w:rsid w:val="00BE56E6"/>
    <w:rsid w:val="00BE7DF4"/>
    <w:rsid w:val="00BF00A0"/>
    <w:rsid w:val="00BF3630"/>
    <w:rsid w:val="00C00737"/>
    <w:rsid w:val="00C008DA"/>
    <w:rsid w:val="00C01A35"/>
    <w:rsid w:val="00C036C1"/>
    <w:rsid w:val="00C1333E"/>
    <w:rsid w:val="00C17440"/>
    <w:rsid w:val="00C20E0D"/>
    <w:rsid w:val="00C37304"/>
    <w:rsid w:val="00C37337"/>
    <w:rsid w:val="00C37B26"/>
    <w:rsid w:val="00C43379"/>
    <w:rsid w:val="00C47C1A"/>
    <w:rsid w:val="00C507E7"/>
    <w:rsid w:val="00C50F79"/>
    <w:rsid w:val="00C53C4A"/>
    <w:rsid w:val="00C551EE"/>
    <w:rsid w:val="00C55B31"/>
    <w:rsid w:val="00C57267"/>
    <w:rsid w:val="00C6444A"/>
    <w:rsid w:val="00C73AEC"/>
    <w:rsid w:val="00C82BF6"/>
    <w:rsid w:val="00C84E89"/>
    <w:rsid w:val="00CA19EE"/>
    <w:rsid w:val="00CA3739"/>
    <w:rsid w:val="00CA70EF"/>
    <w:rsid w:val="00CB1374"/>
    <w:rsid w:val="00CB4A66"/>
    <w:rsid w:val="00CB6B99"/>
    <w:rsid w:val="00CB6ED4"/>
    <w:rsid w:val="00CB7776"/>
    <w:rsid w:val="00CB78B3"/>
    <w:rsid w:val="00CC42F7"/>
    <w:rsid w:val="00CD3327"/>
    <w:rsid w:val="00CE6E19"/>
    <w:rsid w:val="00CF0FC4"/>
    <w:rsid w:val="00CF1A59"/>
    <w:rsid w:val="00CF4F8A"/>
    <w:rsid w:val="00CF5D8F"/>
    <w:rsid w:val="00CF6932"/>
    <w:rsid w:val="00CF6FAC"/>
    <w:rsid w:val="00D0113A"/>
    <w:rsid w:val="00D0372D"/>
    <w:rsid w:val="00D04A40"/>
    <w:rsid w:val="00D04BF5"/>
    <w:rsid w:val="00D11880"/>
    <w:rsid w:val="00D13943"/>
    <w:rsid w:val="00D16FE6"/>
    <w:rsid w:val="00D205B5"/>
    <w:rsid w:val="00D23AE5"/>
    <w:rsid w:val="00D314A7"/>
    <w:rsid w:val="00D37883"/>
    <w:rsid w:val="00D37F2F"/>
    <w:rsid w:val="00D4544E"/>
    <w:rsid w:val="00D536C9"/>
    <w:rsid w:val="00D61903"/>
    <w:rsid w:val="00D62544"/>
    <w:rsid w:val="00D62618"/>
    <w:rsid w:val="00D62AF5"/>
    <w:rsid w:val="00D753A5"/>
    <w:rsid w:val="00D824CF"/>
    <w:rsid w:val="00D835CF"/>
    <w:rsid w:val="00D91C39"/>
    <w:rsid w:val="00DA0D3C"/>
    <w:rsid w:val="00DA14B7"/>
    <w:rsid w:val="00DA26FB"/>
    <w:rsid w:val="00DA2B16"/>
    <w:rsid w:val="00DA369E"/>
    <w:rsid w:val="00DA5402"/>
    <w:rsid w:val="00DB19F3"/>
    <w:rsid w:val="00DB1D54"/>
    <w:rsid w:val="00DB47C0"/>
    <w:rsid w:val="00DB5459"/>
    <w:rsid w:val="00DB6C3D"/>
    <w:rsid w:val="00DC5ACF"/>
    <w:rsid w:val="00DC6B3D"/>
    <w:rsid w:val="00DC77B6"/>
    <w:rsid w:val="00DD01A5"/>
    <w:rsid w:val="00DD11AD"/>
    <w:rsid w:val="00DE0444"/>
    <w:rsid w:val="00DE0A31"/>
    <w:rsid w:val="00DE2968"/>
    <w:rsid w:val="00DE375E"/>
    <w:rsid w:val="00DE5EAA"/>
    <w:rsid w:val="00DE71D3"/>
    <w:rsid w:val="00DE74ED"/>
    <w:rsid w:val="00DF0798"/>
    <w:rsid w:val="00DF08A0"/>
    <w:rsid w:val="00DF48B4"/>
    <w:rsid w:val="00E07D64"/>
    <w:rsid w:val="00E120A4"/>
    <w:rsid w:val="00E12C48"/>
    <w:rsid w:val="00E1371B"/>
    <w:rsid w:val="00E17C44"/>
    <w:rsid w:val="00E22B58"/>
    <w:rsid w:val="00E244E5"/>
    <w:rsid w:val="00E24874"/>
    <w:rsid w:val="00E24983"/>
    <w:rsid w:val="00E24E6F"/>
    <w:rsid w:val="00E25ABA"/>
    <w:rsid w:val="00E25BCC"/>
    <w:rsid w:val="00E32A52"/>
    <w:rsid w:val="00E33999"/>
    <w:rsid w:val="00E33E17"/>
    <w:rsid w:val="00E34284"/>
    <w:rsid w:val="00E44A44"/>
    <w:rsid w:val="00E65EBF"/>
    <w:rsid w:val="00E724AD"/>
    <w:rsid w:val="00E73157"/>
    <w:rsid w:val="00E75917"/>
    <w:rsid w:val="00E76C3A"/>
    <w:rsid w:val="00E85A3B"/>
    <w:rsid w:val="00E96A69"/>
    <w:rsid w:val="00E9738B"/>
    <w:rsid w:val="00EA4EE6"/>
    <w:rsid w:val="00EA5810"/>
    <w:rsid w:val="00EA7F78"/>
    <w:rsid w:val="00EB5E57"/>
    <w:rsid w:val="00EC6249"/>
    <w:rsid w:val="00EC64FC"/>
    <w:rsid w:val="00ED015E"/>
    <w:rsid w:val="00ED747E"/>
    <w:rsid w:val="00EE352B"/>
    <w:rsid w:val="00EE532C"/>
    <w:rsid w:val="00EE7B97"/>
    <w:rsid w:val="00EF18DC"/>
    <w:rsid w:val="00EF50F8"/>
    <w:rsid w:val="00EF51F5"/>
    <w:rsid w:val="00F0105A"/>
    <w:rsid w:val="00F10033"/>
    <w:rsid w:val="00F14508"/>
    <w:rsid w:val="00F23963"/>
    <w:rsid w:val="00F2625D"/>
    <w:rsid w:val="00F301FB"/>
    <w:rsid w:val="00F310F3"/>
    <w:rsid w:val="00F3584B"/>
    <w:rsid w:val="00F43823"/>
    <w:rsid w:val="00F44C75"/>
    <w:rsid w:val="00F47D2E"/>
    <w:rsid w:val="00F5161A"/>
    <w:rsid w:val="00F51806"/>
    <w:rsid w:val="00F53D03"/>
    <w:rsid w:val="00F5649A"/>
    <w:rsid w:val="00F64096"/>
    <w:rsid w:val="00F76E59"/>
    <w:rsid w:val="00F82342"/>
    <w:rsid w:val="00F841F8"/>
    <w:rsid w:val="00F86D0D"/>
    <w:rsid w:val="00F91262"/>
    <w:rsid w:val="00F91AE4"/>
    <w:rsid w:val="00F91C5F"/>
    <w:rsid w:val="00FA14CE"/>
    <w:rsid w:val="00FA2F67"/>
    <w:rsid w:val="00FB1231"/>
    <w:rsid w:val="00FB414C"/>
    <w:rsid w:val="00FB43C9"/>
    <w:rsid w:val="00FC0A53"/>
    <w:rsid w:val="00FE17E2"/>
    <w:rsid w:val="00FF45CB"/>
    <w:rsid w:val="00FF5CC0"/>
    <w:rsid w:val="00FF6319"/>
    <w:rsid w:val="00FF7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259"/>
    <w:rPr>
      <w:rFonts w:ascii="Arial" w:hAnsi="Arial"/>
      <w:sz w:val="24"/>
      <w:lang w:eastAsia="en-US"/>
    </w:rPr>
  </w:style>
  <w:style w:type="paragraph" w:styleId="Heading1">
    <w:name w:val="heading 1"/>
    <w:basedOn w:val="Heading2"/>
    <w:next w:val="Normal"/>
    <w:link w:val="Heading1Char"/>
    <w:uiPriority w:val="99"/>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qFormat/>
    <w:rsid w:val="00DA2B16"/>
    <w:pPr>
      <w:keepNext/>
      <w:outlineLvl w:val="4"/>
    </w:pPr>
    <w:rPr>
      <w:rFonts w:cs="Arial"/>
      <w:sz w:val="28"/>
    </w:rPr>
  </w:style>
  <w:style w:type="paragraph" w:styleId="Heading6">
    <w:name w:val="heading 6"/>
    <w:basedOn w:val="Normal"/>
    <w:next w:val="Normal"/>
    <w:link w:val="Heading6Char"/>
    <w:qFormat/>
    <w:rsid w:val="00DA2B16"/>
    <w:pPr>
      <w:keepNext/>
      <w:ind w:left="720" w:hanging="720"/>
      <w:outlineLvl w:val="5"/>
    </w:pPr>
    <w:rPr>
      <w:rFonts w:cs="Arial"/>
      <w:b/>
      <w:bCs/>
      <w:sz w:val="28"/>
      <w:szCs w:val="24"/>
    </w:rPr>
  </w:style>
  <w:style w:type="paragraph" w:styleId="Heading7">
    <w:name w:val="heading 7"/>
    <w:basedOn w:val="Normal"/>
    <w:next w:val="Normal"/>
    <w:link w:val="Heading7Char"/>
    <w:qFormat/>
    <w:rsid w:val="00DA2B16"/>
    <w:pPr>
      <w:keepNext/>
      <w:ind w:left="720" w:hanging="720"/>
      <w:jc w:val="both"/>
      <w:outlineLvl w:val="6"/>
    </w:pPr>
    <w:rPr>
      <w:rFonts w:cs="Arial"/>
      <w:i/>
      <w:iCs/>
    </w:rPr>
  </w:style>
  <w:style w:type="paragraph" w:styleId="Heading8">
    <w:name w:val="heading 8"/>
    <w:basedOn w:val="Normal"/>
    <w:next w:val="Normal"/>
    <w:link w:val="Heading8Char"/>
    <w:qFormat/>
    <w:rsid w:val="00DA2B16"/>
    <w:pPr>
      <w:keepNext/>
      <w:ind w:left="720" w:hanging="720"/>
      <w:outlineLvl w:val="7"/>
    </w:pPr>
    <w:rPr>
      <w:rFonts w:cs="Arial"/>
      <w:i/>
      <w:iCs/>
    </w:rPr>
  </w:style>
  <w:style w:type="paragraph" w:styleId="Heading9">
    <w:name w:val="heading 9"/>
    <w:basedOn w:val="Normal"/>
    <w:next w:val="Normal"/>
    <w:link w:val="Heading9Char"/>
    <w:qFormat/>
    <w:rsid w:val="00DA2B16"/>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1Char">
    <w:name w:val="Heading 1 Char"/>
    <w:link w:val="Heading1"/>
    <w:uiPriority w:val="99"/>
    <w:rsid w:val="000209B6"/>
    <w:rPr>
      <w:rFonts w:ascii="Arial Black" w:hAnsi="Arial Black" w:cs="Arial"/>
      <w:bCs/>
      <w:sz w:val="32"/>
      <w:szCs w:val="32"/>
      <w:lang w:eastAsia="en-US"/>
    </w:rPr>
  </w:style>
  <w:style w:type="paragraph" w:styleId="BodyText3">
    <w:name w:val="Body Text 3"/>
    <w:basedOn w:val="Normal"/>
    <w:link w:val="BodyText3Char"/>
    <w:rsid w:val="00DA2B16"/>
    <w:pPr>
      <w:spacing w:after="120"/>
    </w:pPr>
    <w:rPr>
      <w:sz w:val="16"/>
      <w:szCs w:val="16"/>
    </w:rPr>
  </w:style>
  <w:style w:type="paragraph" w:styleId="ListParagraph">
    <w:name w:val="List Paragraph"/>
    <w:basedOn w:val="Normal"/>
    <w:uiPriority w:val="34"/>
    <w:qFormat/>
    <w:rsid w:val="000209B6"/>
    <w:pPr>
      <w:numPr>
        <w:numId w:val="1"/>
      </w:numPr>
      <w:spacing w:before="120" w:after="120" w:line="280" w:lineRule="exact"/>
    </w:pPr>
    <w:rPr>
      <w:rFonts w:ascii="Calibri" w:eastAsia="Calibri" w:hAnsi="Calibri"/>
      <w:color w:val="000000"/>
      <w:sz w:val="21"/>
      <w:szCs w:val="22"/>
    </w:rPr>
  </w:style>
  <w:style w:type="character" w:customStyle="1" w:styleId="Heading2Char">
    <w:name w:val="Heading 2 Char"/>
    <w:link w:val="Heading2"/>
    <w:rsid w:val="00666029"/>
    <w:rPr>
      <w:rFonts w:ascii="Arial" w:hAnsi="Arial" w:cs="Arial"/>
      <w:b/>
      <w:bCs/>
      <w:sz w:val="28"/>
      <w:szCs w:val="32"/>
      <w:lang w:eastAsia="en-US"/>
    </w:rPr>
  </w:style>
  <w:style w:type="paragraph" w:styleId="BalloonText">
    <w:name w:val="Balloon Text"/>
    <w:basedOn w:val="Normal"/>
    <w:link w:val="BalloonTextChar"/>
    <w:rsid w:val="00B81CD0"/>
    <w:rPr>
      <w:rFonts w:ascii="Tahoma" w:hAnsi="Tahoma" w:cs="Tahoma"/>
      <w:sz w:val="16"/>
      <w:szCs w:val="16"/>
    </w:rPr>
  </w:style>
  <w:style w:type="character" w:customStyle="1" w:styleId="BalloonTextChar">
    <w:name w:val="Balloon Text Char"/>
    <w:link w:val="BalloonText"/>
    <w:rsid w:val="00B81CD0"/>
    <w:rPr>
      <w:rFonts w:ascii="Tahoma" w:hAnsi="Tahoma" w:cs="Tahoma"/>
      <w:sz w:val="16"/>
      <w:szCs w:val="16"/>
      <w:lang w:eastAsia="en-US"/>
    </w:rPr>
  </w:style>
  <w:style w:type="character" w:styleId="CommentReference">
    <w:name w:val="annotation reference"/>
    <w:rsid w:val="00802AC6"/>
    <w:rPr>
      <w:sz w:val="16"/>
      <w:szCs w:val="16"/>
    </w:rPr>
  </w:style>
  <w:style w:type="paragraph" w:styleId="CommentText">
    <w:name w:val="annotation text"/>
    <w:basedOn w:val="Normal"/>
    <w:link w:val="CommentTextChar"/>
    <w:rsid w:val="00802AC6"/>
    <w:rPr>
      <w:sz w:val="20"/>
    </w:rPr>
  </w:style>
  <w:style w:type="character" w:customStyle="1" w:styleId="CommentTextChar">
    <w:name w:val="Comment Text Char"/>
    <w:link w:val="CommentText"/>
    <w:rsid w:val="00802AC6"/>
    <w:rPr>
      <w:rFonts w:ascii="Arial" w:hAnsi="Arial"/>
      <w:lang w:eastAsia="en-US"/>
    </w:rPr>
  </w:style>
  <w:style w:type="paragraph" w:styleId="CommentSubject">
    <w:name w:val="annotation subject"/>
    <w:basedOn w:val="CommentText"/>
    <w:next w:val="CommentText"/>
    <w:link w:val="CommentSubjectChar"/>
    <w:rsid w:val="00802AC6"/>
    <w:rPr>
      <w:b/>
      <w:bCs/>
    </w:rPr>
  </w:style>
  <w:style w:type="character" w:customStyle="1" w:styleId="CommentSubjectChar">
    <w:name w:val="Comment Subject Char"/>
    <w:link w:val="CommentSubject"/>
    <w:rsid w:val="00802AC6"/>
    <w:rPr>
      <w:rFonts w:ascii="Arial" w:hAnsi="Arial"/>
      <w:b/>
      <w:bCs/>
      <w:lang w:eastAsia="en-US"/>
    </w:rPr>
  </w:style>
  <w:style w:type="character" w:customStyle="1" w:styleId="BodyText3Char">
    <w:name w:val="Body Text 3 Char"/>
    <w:link w:val="BodyText3"/>
    <w:rsid w:val="00DA2B16"/>
    <w:rPr>
      <w:rFonts w:ascii="Arial" w:hAnsi="Arial"/>
      <w:sz w:val="16"/>
      <w:szCs w:val="16"/>
      <w:lang w:eastAsia="en-US"/>
    </w:rPr>
  </w:style>
  <w:style w:type="paragraph" w:styleId="BodyTextIndent2">
    <w:name w:val="Body Text Indent 2"/>
    <w:basedOn w:val="Normal"/>
    <w:link w:val="BodyTextIndent2Char"/>
    <w:rsid w:val="00DA2B16"/>
    <w:pPr>
      <w:spacing w:after="120" w:line="480" w:lineRule="auto"/>
      <w:ind w:left="283"/>
    </w:pPr>
  </w:style>
  <w:style w:type="character" w:customStyle="1" w:styleId="BodyTextIndent2Char">
    <w:name w:val="Body Text Indent 2 Char"/>
    <w:link w:val="BodyTextIndent2"/>
    <w:rsid w:val="00DA2B16"/>
    <w:rPr>
      <w:rFonts w:ascii="Arial" w:hAnsi="Arial"/>
      <w:sz w:val="24"/>
      <w:lang w:eastAsia="en-US"/>
    </w:rPr>
  </w:style>
  <w:style w:type="character" w:customStyle="1" w:styleId="Heading5Char">
    <w:name w:val="Heading 5 Char"/>
    <w:link w:val="Heading5"/>
    <w:rsid w:val="00DA2B16"/>
    <w:rPr>
      <w:rFonts w:ascii="Arial" w:hAnsi="Arial" w:cs="Arial"/>
      <w:sz w:val="28"/>
      <w:lang w:eastAsia="en-US"/>
    </w:rPr>
  </w:style>
  <w:style w:type="character" w:customStyle="1" w:styleId="Heading6Char">
    <w:name w:val="Heading 6 Char"/>
    <w:link w:val="Heading6"/>
    <w:rsid w:val="00DA2B16"/>
    <w:rPr>
      <w:rFonts w:ascii="Arial" w:hAnsi="Arial" w:cs="Arial"/>
      <w:b/>
      <w:bCs/>
      <w:sz w:val="28"/>
      <w:szCs w:val="24"/>
      <w:lang w:eastAsia="en-US"/>
    </w:rPr>
  </w:style>
  <w:style w:type="character" w:customStyle="1" w:styleId="Heading7Char">
    <w:name w:val="Heading 7 Char"/>
    <w:link w:val="Heading7"/>
    <w:rsid w:val="00DA2B16"/>
    <w:rPr>
      <w:rFonts w:ascii="Arial" w:hAnsi="Arial" w:cs="Arial"/>
      <w:i/>
      <w:iCs/>
      <w:sz w:val="24"/>
      <w:lang w:eastAsia="en-US"/>
    </w:rPr>
  </w:style>
  <w:style w:type="character" w:customStyle="1" w:styleId="Heading8Char">
    <w:name w:val="Heading 8 Char"/>
    <w:link w:val="Heading8"/>
    <w:rsid w:val="00DA2B16"/>
    <w:rPr>
      <w:rFonts w:ascii="Arial" w:hAnsi="Arial" w:cs="Arial"/>
      <w:i/>
      <w:iCs/>
      <w:sz w:val="24"/>
      <w:lang w:eastAsia="en-US"/>
    </w:rPr>
  </w:style>
  <w:style w:type="character" w:customStyle="1" w:styleId="Heading9Char">
    <w:name w:val="Heading 9 Char"/>
    <w:link w:val="Heading9"/>
    <w:rsid w:val="00DA2B16"/>
    <w:rPr>
      <w:rFonts w:ascii="Arial" w:hAnsi="Arial" w:cs="Arial"/>
      <w:sz w:val="24"/>
      <w:lang w:eastAsia="en-US"/>
    </w:rPr>
  </w:style>
  <w:style w:type="paragraph" w:styleId="DocumentMap">
    <w:name w:val="Document Map"/>
    <w:basedOn w:val="Normal"/>
    <w:link w:val="DocumentMapChar"/>
    <w:rsid w:val="00DA2B16"/>
    <w:pPr>
      <w:shd w:val="clear" w:color="auto" w:fill="000080"/>
    </w:pPr>
    <w:rPr>
      <w:rFonts w:ascii="Tahoma" w:hAnsi="Tahoma" w:cs="Tahoma"/>
    </w:rPr>
  </w:style>
  <w:style w:type="character" w:customStyle="1" w:styleId="DocumentMapChar">
    <w:name w:val="Document Map Char"/>
    <w:link w:val="DocumentMap"/>
    <w:rsid w:val="00DA2B16"/>
    <w:rPr>
      <w:rFonts w:ascii="Tahoma" w:hAnsi="Tahoma" w:cs="Tahoma"/>
      <w:sz w:val="24"/>
      <w:shd w:val="clear" w:color="auto" w:fill="000080"/>
      <w:lang w:eastAsia="en-US"/>
    </w:rPr>
  </w:style>
  <w:style w:type="character" w:customStyle="1" w:styleId="Heading3Char">
    <w:name w:val="Heading 3 Char"/>
    <w:rsid w:val="00DA2B16"/>
    <w:rPr>
      <w:rFonts w:ascii="Arial" w:hAnsi="Arial" w:cs="Arial"/>
      <w:b/>
      <w:bCs/>
      <w:i/>
      <w:sz w:val="24"/>
      <w:szCs w:val="28"/>
      <w:lang w:val="en-GB" w:eastAsia="en-US" w:bidi="ar-SA"/>
    </w:rPr>
  </w:style>
  <w:style w:type="paragraph" w:customStyle="1" w:styleId="Style12ptJustified">
    <w:name w:val="Style 12 pt Justified"/>
    <w:basedOn w:val="Normal"/>
    <w:rsid w:val="00DA2B16"/>
  </w:style>
  <w:style w:type="paragraph" w:customStyle="1" w:styleId="Style12ptLinespacing15lines">
    <w:name w:val="Style 12 pt Line spacing:  1.5 lines"/>
    <w:basedOn w:val="Normal"/>
    <w:rsid w:val="00DA2B16"/>
  </w:style>
  <w:style w:type="paragraph" w:customStyle="1" w:styleId="Style12ptJustified1">
    <w:name w:val="Style 12 pt Justified1"/>
    <w:basedOn w:val="Normal"/>
    <w:rsid w:val="00DA2B16"/>
  </w:style>
  <w:style w:type="paragraph" w:customStyle="1" w:styleId="Style12ptJustified2">
    <w:name w:val="Style 12 pt Justified2"/>
    <w:basedOn w:val="Normal"/>
    <w:rsid w:val="00DA2B16"/>
  </w:style>
  <w:style w:type="paragraph" w:customStyle="1" w:styleId="Style12ptJustified3">
    <w:name w:val="Style 12 pt Justified3"/>
    <w:basedOn w:val="Normal"/>
    <w:rsid w:val="00DA2B16"/>
  </w:style>
  <w:style w:type="paragraph" w:customStyle="1" w:styleId="StyleJustified">
    <w:name w:val="Style Justified"/>
    <w:basedOn w:val="Normal"/>
    <w:next w:val="Normal"/>
    <w:rsid w:val="00DA2B16"/>
    <w:rPr>
      <w:szCs w:val="24"/>
    </w:rPr>
  </w:style>
  <w:style w:type="paragraph" w:styleId="BodyTextIndent">
    <w:name w:val="Body Text Indent"/>
    <w:basedOn w:val="Normal"/>
    <w:link w:val="BodyTextIndentChar"/>
    <w:rsid w:val="00DA2B16"/>
    <w:pPr>
      <w:ind w:left="289" w:hanging="5"/>
      <w:jc w:val="both"/>
    </w:pPr>
    <w:rPr>
      <w:rFonts w:cs="Arial"/>
      <w:szCs w:val="22"/>
    </w:rPr>
  </w:style>
  <w:style w:type="character" w:customStyle="1" w:styleId="BodyTextIndentChar">
    <w:name w:val="Body Text Indent Char"/>
    <w:link w:val="BodyTextIndent"/>
    <w:rsid w:val="00DA2B16"/>
    <w:rPr>
      <w:rFonts w:ascii="Arial" w:hAnsi="Arial" w:cs="Arial"/>
      <w:sz w:val="24"/>
      <w:szCs w:val="22"/>
      <w:lang w:eastAsia="en-US"/>
    </w:rPr>
  </w:style>
  <w:style w:type="paragraph" w:customStyle="1" w:styleId="infotext0">
    <w:name w:val="infotext"/>
    <w:basedOn w:val="Normal"/>
    <w:rsid w:val="00DA2B16"/>
    <w:pPr>
      <w:spacing w:before="100" w:beforeAutospacing="1" w:after="100" w:afterAutospacing="1"/>
    </w:pPr>
    <w:rPr>
      <w:rFonts w:ascii="Times New Roman" w:hAnsi="Times New Roman"/>
      <w:szCs w:val="24"/>
      <w:lang w:val="en-US"/>
    </w:rPr>
  </w:style>
  <w:style w:type="paragraph" w:customStyle="1" w:styleId="xl25">
    <w:name w:val="xl25"/>
    <w:basedOn w:val="Normal"/>
    <w:rsid w:val="00DA2B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35">
    <w:name w:val="xl35"/>
    <w:basedOn w:val="Normal"/>
    <w:rsid w:val="00DA2B1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36">
    <w:name w:val="xl36"/>
    <w:basedOn w:val="Normal"/>
    <w:rsid w:val="00DA2B16"/>
    <w:pPr>
      <w:pBdr>
        <w:left w:val="single" w:sz="4" w:space="0" w:color="auto"/>
        <w:right w:val="single" w:sz="4" w:space="0" w:color="auto"/>
      </w:pBdr>
      <w:spacing w:before="100" w:beforeAutospacing="1" w:after="100" w:afterAutospacing="1"/>
    </w:pPr>
    <w:rPr>
      <w:rFonts w:eastAsia="Arial Unicode MS" w:cs="Arial"/>
      <w:szCs w:val="24"/>
    </w:rPr>
  </w:style>
  <w:style w:type="paragraph" w:styleId="BodyText2">
    <w:name w:val="Body Text 2"/>
    <w:basedOn w:val="Normal"/>
    <w:link w:val="BodyText2Char"/>
    <w:rsid w:val="00DA2B16"/>
    <w:pPr>
      <w:spacing w:before="90"/>
      <w:jc w:val="both"/>
    </w:pPr>
    <w:rPr>
      <w:rFonts w:cs="Arial"/>
      <w:sz w:val="20"/>
      <w:szCs w:val="22"/>
    </w:rPr>
  </w:style>
  <w:style w:type="character" w:customStyle="1" w:styleId="BodyText2Char">
    <w:name w:val="Body Text 2 Char"/>
    <w:link w:val="BodyText2"/>
    <w:rsid w:val="00DA2B16"/>
    <w:rPr>
      <w:rFonts w:ascii="Arial" w:hAnsi="Arial" w:cs="Arial"/>
      <w:szCs w:val="22"/>
      <w:lang w:eastAsia="en-US"/>
    </w:rPr>
  </w:style>
  <w:style w:type="paragraph" w:styleId="BodyTextIndent3">
    <w:name w:val="Body Text Indent 3"/>
    <w:basedOn w:val="Normal"/>
    <w:link w:val="BodyTextIndent3Char"/>
    <w:rsid w:val="00DA2B16"/>
    <w:pPr>
      <w:spacing w:after="120"/>
      <w:ind w:left="283"/>
    </w:pPr>
    <w:rPr>
      <w:sz w:val="16"/>
      <w:szCs w:val="16"/>
    </w:rPr>
  </w:style>
  <w:style w:type="character" w:customStyle="1" w:styleId="BodyTextIndent3Char">
    <w:name w:val="Body Text Indent 3 Char"/>
    <w:link w:val="BodyTextIndent3"/>
    <w:rsid w:val="00DA2B16"/>
    <w:rPr>
      <w:rFonts w:ascii="Arial" w:hAnsi="Arial"/>
      <w:sz w:val="16"/>
      <w:szCs w:val="16"/>
      <w:lang w:eastAsia="en-US"/>
    </w:rPr>
  </w:style>
  <w:style w:type="paragraph" w:customStyle="1" w:styleId="CharChar1Char">
    <w:name w:val="Char Char1 Char"/>
    <w:basedOn w:val="Normal"/>
    <w:rsid w:val="00DA2B16"/>
    <w:pPr>
      <w:spacing w:after="160" w:line="240" w:lineRule="exact"/>
    </w:pPr>
    <w:rPr>
      <w:rFonts w:ascii="Tahoma" w:hAnsi="Tahoma"/>
      <w:sz w:val="20"/>
      <w:lang w:eastAsia="en-GB"/>
    </w:rPr>
  </w:style>
  <w:style w:type="paragraph" w:customStyle="1" w:styleId="Pa5">
    <w:name w:val="Pa5"/>
    <w:basedOn w:val="Normal"/>
    <w:next w:val="Normal"/>
    <w:rsid w:val="00DA2B16"/>
    <w:pPr>
      <w:autoSpaceDE w:val="0"/>
      <w:autoSpaceDN w:val="0"/>
      <w:adjustRightInd w:val="0"/>
      <w:spacing w:line="221" w:lineRule="atLeast"/>
    </w:pPr>
    <w:rPr>
      <w:rFonts w:ascii="Bliss 2 Light" w:hAnsi="Bliss 2 Light"/>
      <w:szCs w:val="24"/>
      <w:lang w:val="en-US"/>
    </w:rPr>
  </w:style>
  <w:style w:type="paragraph" w:customStyle="1" w:styleId="Pa6">
    <w:name w:val="Pa6"/>
    <w:basedOn w:val="Normal"/>
    <w:next w:val="Normal"/>
    <w:rsid w:val="00DA2B16"/>
    <w:pPr>
      <w:autoSpaceDE w:val="0"/>
      <w:autoSpaceDN w:val="0"/>
      <w:adjustRightInd w:val="0"/>
      <w:spacing w:line="201" w:lineRule="atLeast"/>
    </w:pPr>
    <w:rPr>
      <w:rFonts w:ascii="Bliss 2 Light" w:hAnsi="Bliss 2 Light"/>
      <w:szCs w:val="24"/>
      <w:lang w:val="en-US"/>
    </w:rPr>
  </w:style>
  <w:style w:type="paragraph" w:customStyle="1" w:styleId="Default">
    <w:name w:val="Default"/>
    <w:rsid w:val="00DA2B16"/>
    <w:pPr>
      <w:widowControl w:val="0"/>
      <w:autoSpaceDE w:val="0"/>
      <w:autoSpaceDN w:val="0"/>
      <w:adjustRightInd w:val="0"/>
    </w:pPr>
    <w:rPr>
      <w:rFonts w:ascii="CPAFB D+ Optima" w:hAnsi="CPAFB D+ Optima"/>
      <w:color w:val="000000"/>
      <w:sz w:val="24"/>
      <w:szCs w:val="24"/>
    </w:rPr>
  </w:style>
  <w:style w:type="paragraph" w:customStyle="1" w:styleId="ChapterHeading">
    <w:name w:val="Chapter Heading"/>
    <w:basedOn w:val="Normal"/>
    <w:link w:val="ChapterHeadingChar"/>
    <w:uiPriority w:val="99"/>
    <w:semiHidden/>
    <w:rsid w:val="00DA2B16"/>
    <w:pPr>
      <w:pageBreakBefore/>
      <w:numPr>
        <w:numId w:val="13"/>
      </w:numPr>
      <w:spacing w:before="120" w:after="120"/>
      <w:jc w:val="both"/>
    </w:pPr>
    <w:rPr>
      <w:rFonts w:ascii="Calibri" w:hAnsi="Calibri" w:cs="Arial"/>
      <w:b/>
      <w:noProof/>
      <w:spacing w:val="-5"/>
      <w:sz w:val="36"/>
      <w:szCs w:val="36"/>
    </w:rPr>
  </w:style>
  <w:style w:type="paragraph" w:customStyle="1" w:styleId="Subheading">
    <w:name w:val="Subheading"/>
    <w:basedOn w:val="BodyText"/>
    <w:uiPriority w:val="99"/>
    <w:semiHidden/>
    <w:rsid w:val="00DA2B16"/>
    <w:pPr>
      <w:numPr>
        <w:ilvl w:val="1"/>
        <w:numId w:val="13"/>
      </w:numPr>
      <w:spacing w:before="270" w:after="180"/>
      <w:ind w:left="360"/>
      <w:jc w:val="both"/>
    </w:pPr>
    <w:rPr>
      <w:b/>
      <w:i w:val="0"/>
      <w:iCs w:val="0"/>
      <w:noProof/>
      <w:sz w:val="22"/>
      <w:szCs w:val="22"/>
    </w:rPr>
  </w:style>
  <w:style w:type="paragraph" w:customStyle="1" w:styleId="subhead">
    <w:name w:val="subhead"/>
    <w:basedOn w:val="Subheading"/>
    <w:link w:val="subheadChar"/>
    <w:uiPriority w:val="99"/>
    <w:rsid w:val="00DA2B16"/>
  </w:style>
  <w:style w:type="paragraph" w:customStyle="1" w:styleId="body">
    <w:name w:val="body"/>
    <w:basedOn w:val="Normal"/>
    <w:link w:val="bodyChar"/>
    <w:rsid w:val="00DA2B16"/>
    <w:pPr>
      <w:jc w:val="both"/>
    </w:pPr>
    <w:rPr>
      <w:rFonts w:cs="Arial"/>
      <w:noProof/>
      <w:spacing w:val="-5"/>
      <w:sz w:val="22"/>
      <w:szCs w:val="22"/>
    </w:rPr>
  </w:style>
  <w:style w:type="character" w:customStyle="1" w:styleId="subheadChar">
    <w:name w:val="subhead Char"/>
    <w:link w:val="subhead"/>
    <w:uiPriority w:val="99"/>
    <w:locked/>
    <w:rsid w:val="00DA2B16"/>
    <w:rPr>
      <w:rFonts w:ascii="Arial" w:hAnsi="Arial" w:cs="Arial"/>
      <w:b/>
      <w:noProof/>
      <w:sz w:val="22"/>
      <w:szCs w:val="22"/>
      <w:lang w:eastAsia="en-US"/>
    </w:rPr>
  </w:style>
  <w:style w:type="character" w:customStyle="1" w:styleId="bodyChar">
    <w:name w:val="body Char"/>
    <w:link w:val="body"/>
    <w:locked/>
    <w:rsid w:val="00DA2B16"/>
    <w:rPr>
      <w:rFonts w:ascii="Arial" w:hAnsi="Arial" w:cs="Arial"/>
      <w:noProof/>
      <w:spacing w:val="-5"/>
      <w:sz w:val="22"/>
      <w:szCs w:val="22"/>
      <w:lang w:eastAsia="en-US"/>
    </w:rPr>
  </w:style>
  <w:style w:type="paragraph" w:customStyle="1" w:styleId="introduction">
    <w:name w:val="introduction"/>
    <w:basedOn w:val="Normal"/>
    <w:rsid w:val="00DA2B16"/>
    <w:pPr>
      <w:spacing w:before="100" w:beforeAutospacing="1" w:after="100" w:afterAutospacing="1"/>
    </w:pPr>
    <w:rPr>
      <w:rFonts w:ascii="Times New Roman" w:hAnsi="Times New Roman"/>
      <w:szCs w:val="24"/>
      <w:lang w:val="en-US"/>
    </w:rPr>
  </w:style>
  <w:style w:type="character" w:customStyle="1" w:styleId="ChapterHeadingChar">
    <w:name w:val="Chapter Heading Char"/>
    <w:link w:val="ChapterHeading"/>
    <w:uiPriority w:val="99"/>
    <w:semiHidden/>
    <w:locked/>
    <w:rsid w:val="00DA2B16"/>
    <w:rPr>
      <w:rFonts w:ascii="Calibri" w:hAnsi="Calibri" w:cs="Arial"/>
      <w:b/>
      <w:noProof/>
      <w:spacing w:val="-5"/>
      <w:sz w:val="36"/>
      <w:szCs w:val="36"/>
      <w:lang w:eastAsia="en-US"/>
    </w:rPr>
  </w:style>
  <w:style w:type="paragraph" w:styleId="Revision">
    <w:name w:val="Revision"/>
    <w:hidden/>
    <w:uiPriority w:val="99"/>
    <w:semiHidden/>
    <w:rsid w:val="00DA2B16"/>
    <w:rPr>
      <w:rFonts w:ascii="Arial" w:hAnsi="Arial"/>
      <w:sz w:val="24"/>
      <w:lang w:eastAsia="en-US"/>
    </w:rPr>
  </w:style>
  <w:style w:type="character" w:styleId="LineNumber">
    <w:name w:val="line number"/>
    <w:basedOn w:val="DefaultParagraphFont"/>
    <w:rsid w:val="001B02EA"/>
  </w:style>
  <w:style w:type="table" w:styleId="TableColumns5">
    <w:name w:val="Table Columns 5"/>
    <w:basedOn w:val="TableNormal"/>
    <w:rsid w:val="00030E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BodyTextChar">
    <w:name w:val="Body Text Char"/>
    <w:link w:val="BodyText"/>
    <w:rsid w:val="00140C7F"/>
    <w:rPr>
      <w:rFonts w:ascii="Arial" w:hAnsi="Arial" w:cs="Arial"/>
      <w:i/>
      <w:i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259"/>
    <w:rPr>
      <w:rFonts w:ascii="Arial" w:hAnsi="Arial"/>
      <w:sz w:val="24"/>
      <w:lang w:eastAsia="en-US"/>
    </w:rPr>
  </w:style>
  <w:style w:type="paragraph" w:styleId="Heading1">
    <w:name w:val="heading 1"/>
    <w:basedOn w:val="Heading2"/>
    <w:next w:val="Normal"/>
    <w:link w:val="Heading1Char"/>
    <w:uiPriority w:val="99"/>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qFormat/>
    <w:rsid w:val="00DA2B16"/>
    <w:pPr>
      <w:keepNext/>
      <w:outlineLvl w:val="4"/>
    </w:pPr>
    <w:rPr>
      <w:rFonts w:cs="Arial"/>
      <w:sz w:val="28"/>
    </w:rPr>
  </w:style>
  <w:style w:type="paragraph" w:styleId="Heading6">
    <w:name w:val="heading 6"/>
    <w:basedOn w:val="Normal"/>
    <w:next w:val="Normal"/>
    <w:link w:val="Heading6Char"/>
    <w:qFormat/>
    <w:rsid w:val="00DA2B16"/>
    <w:pPr>
      <w:keepNext/>
      <w:ind w:left="720" w:hanging="720"/>
      <w:outlineLvl w:val="5"/>
    </w:pPr>
    <w:rPr>
      <w:rFonts w:cs="Arial"/>
      <w:b/>
      <w:bCs/>
      <w:sz w:val="28"/>
      <w:szCs w:val="24"/>
    </w:rPr>
  </w:style>
  <w:style w:type="paragraph" w:styleId="Heading7">
    <w:name w:val="heading 7"/>
    <w:basedOn w:val="Normal"/>
    <w:next w:val="Normal"/>
    <w:link w:val="Heading7Char"/>
    <w:qFormat/>
    <w:rsid w:val="00DA2B16"/>
    <w:pPr>
      <w:keepNext/>
      <w:ind w:left="720" w:hanging="720"/>
      <w:jc w:val="both"/>
      <w:outlineLvl w:val="6"/>
    </w:pPr>
    <w:rPr>
      <w:rFonts w:cs="Arial"/>
      <w:i/>
      <w:iCs/>
    </w:rPr>
  </w:style>
  <w:style w:type="paragraph" w:styleId="Heading8">
    <w:name w:val="heading 8"/>
    <w:basedOn w:val="Normal"/>
    <w:next w:val="Normal"/>
    <w:link w:val="Heading8Char"/>
    <w:qFormat/>
    <w:rsid w:val="00DA2B16"/>
    <w:pPr>
      <w:keepNext/>
      <w:ind w:left="720" w:hanging="720"/>
      <w:outlineLvl w:val="7"/>
    </w:pPr>
    <w:rPr>
      <w:rFonts w:cs="Arial"/>
      <w:i/>
      <w:iCs/>
    </w:rPr>
  </w:style>
  <w:style w:type="paragraph" w:styleId="Heading9">
    <w:name w:val="heading 9"/>
    <w:basedOn w:val="Normal"/>
    <w:next w:val="Normal"/>
    <w:link w:val="Heading9Char"/>
    <w:qFormat/>
    <w:rsid w:val="00DA2B16"/>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1Char">
    <w:name w:val="Heading 1 Char"/>
    <w:link w:val="Heading1"/>
    <w:uiPriority w:val="99"/>
    <w:rsid w:val="000209B6"/>
    <w:rPr>
      <w:rFonts w:ascii="Arial Black" w:hAnsi="Arial Black" w:cs="Arial"/>
      <w:bCs/>
      <w:sz w:val="32"/>
      <w:szCs w:val="32"/>
      <w:lang w:eastAsia="en-US"/>
    </w:rPr>
  </w:style>
  <w:style w:type="paragraph" w:styleId="BodyText3">
    <w:name w:val="Body Text 3"/>
    <w:basedOn w:val="Normal"/>
    <w:link w:val="BodyText3Char"/>
    <w:rsid w:val="00DA2B16"/>
    <w:pPr>
      <w:spacing w:after="120"/>
    </w:pPr>
    <w:rPr>
      <w:sz w:val="16"/>
      <w:szCs w:val="16"/>
    </w:rPr>
  </w:style>
  <w:style w:type="paragraph" w:styleId="ListParagraph">
    <w:name w:val="List Paragraph"/>
    <w:basedOn w:val="Normal"/>
    <w:uiPriority w:val="34"/>
    <w:qFormat/>
    <w:rsid w:val="000209B6"/>
    <w:pPr>
      <w:numPr>
        <w:numId w:val="1"/>
      </w:numPr>
      <w:spacing w:before="120" w:after="120" w:line="280" w:lineRule="exact"/>
    </w:pPr>
    <w:rPr>
      <w:rFonts w:ascii="Calibri" w:eastAsia="Calibri" w:hAnsi="Calibri"/>
      <w:color w:val="000000"/>
      <w:sz w:val="21"/>
      <w:szCs w:val="22"/>
    </w:rPr>
  </w:style>
  <w:style w:type="character" w:customStyle="1" w:styleId="Heading2Char">
    <w:name w:val="Heading 2 Char"/>
    <w:link w:val="Heading2"/>
    <w:rsid w:val="00666029"/>
    <w:rPr>
      <w:rFonts w:ascii="Arial" w:hAnsi="Arial" w:cs="Arial"/>
      <w:b/>
      <w:bCs/>
      <w:sz w:val="28"/>
      <w:szCs w:val="32"/>
      <w:lang w:eastAsia="en-US"/>
    </w:rPr>
  </w:style>
  <w:style w:type="paragraph" w:styleId="BalloonText">
    <w:name w:val="Balloon Text"/>
    <w:basedOn w:val="Normal"/>
    <w:link w:val="BalloonTextChar"/>
    <w:rsid w:val="00B81CD0"/>
    <w:rPr>
      <w:rFonts w:ascii="Tahoma" w:hAnsi="Tahoma" w:cs="Tahoma"/>
      <w:sz w:val="16"/>
      <w:szCs w:val="16"/>
    </w:rPr>
  </w:style>
  <w:style w:type="character" w:customStyle="1" w:styleId="BalloonTextChar">
    <w:name w:val="Balloon Text Char"/>
    <w:link w:val="BalloonText"/>
    <w:rsid w:val="00B81CD0"/>
    <w:rPr>
      <w:rFonts w:ascii="Tahoma" w:hAnsi="Tahoma" w:cs="Tahoma"/>
      <w:sz w:val="16"/>
      <w:szCs w:val="16"/>
      <w:lang w:eastAsia="en-US"/>
    </w:rPr>
  </w:style>
  <w:style w:type="character" w:styleId="CommentReference">
    <w:name w:val="annotation reference"/>
    <w:rsid w:val="00802AC6"/>
    <w:rPr>
      <w:sz w:val="16"/>
      <w:szCs w:val="16"/>
    </w:rPr>
  </w:style>
  <w:style w:type="paragraph" w:styleId="CommentText">
    <w:name w:val="annotation text"/>
    <w:basedOn w:val="Normal"/>
    <w:link w:val="CommentTextChar"/>
    <w:rsid w:val="00802AC6"/>
    <w:rPr>
      <w:sz w:val="20"/>
    </w:rPr>
  </w:style>
  <w:style w:type="character" w:customStyle="1" w:styleId="CommentTextChar">
    <w:name w:val="Comment Text Char"/>
    <w:link w:val="CommentText"/>
    <w:rsid w:val="00802AC6"/>
    <w:rPr>
      <w:rFonts w:ascii="Arial" w:hAnsi="Arial"/>
      <w:lang w:eastAsia="en-US"/>
    </w:rPr>
  </w:style>
  <w:style w:type="paragraph" w:styleId="CommentSubject">
    <w:name w:val="annotation subject"/>
    <w:basedOn w:val="CommentText"/>
    <w:next w:val="CommentText"/>
    <w:link w:val="CommentSubjectChar"/>
    <w:rsid w:val="00802AC6"/>
    <w:rPr>
      <w:b/>
      <w:bCs/>
    </w:rPr>
  </w:style>
  <w:style w:type="character" w:customStyle="1" w:styleId="CommentSubjectChar">
    <w:name w:val="Comment Subject Char"/>
    <w:link w:val="CommentSubject"/>
    <w:rsid w:val="00802AC6"/>
    <w:rPr>
      <w:rFonts w:ascii="Arial" w:hAnsi="Arial"/>
      <w:b/>
      <w:bCs/>
      <w:lang w:eastAsia="en-US"/>
    </w:rPr>
  </w:style>
  <w:style w:type="character" w:customStyle="1" w:styleId="BodyText3Char">
    <w:name w:val="Body Text 3 Char"/>
    <w:link w:val="BodyText3"/>
    <w:rsid w:val="00DA2B16"/>
    <w:rPr>
      <w:rFonts w:ascii="Arial" w:hAnsi="Arial"/>
      <w:sz w:val="16"/>
      <w:szCs w:val="16"/>
      <w:lang w:eastAsia="en-US"/>
    </w:rPr>
  </w:style>
  <w:style w:type="paragraph" w:styleId="BodyTextIndent2">
    <w:name w:val="Body Text Indent 2"/>
    <w:basedOn w:val="Normal"/>
    <w:link w:val="BodyTextIndent2Char"/>
    <w:rsid w:val="00DA2B16"/>
    <w:pPr>
      <w:spacing w:after="120" w:line="480" w:lineRule="auto"/>
      <w:ind w:left="283"/>
    </w:pPr>
  </w:style>
  <w:style w:type="character" w:customStyle="1" w:styleId="BodyTextIndent2Char">
    <w:name w:val="Body Text Indent 2 Char"/>
    <w:link w:val="BodyTextIndent2"/>
    <w:rsid w:val="00DA2B16"/>
    <w:rPr>
      <w:rFonts w:ascii="Arial" w:hAnsi="Arial"/>
      <w:sz w:val="24"/>
      <w:lang w:eastAsia="en-US"/>
    </w:rPr>
  </w:style>
  <w:style w:type="character" w:customStyle="1" w:styleId="Heading5Char">
    <w:name w:val="Heading 5 Char"/>
    <w:link w:val="Heading5"/>
    <w:rsid w:val="00DA2B16"/>
    <w:rPr>
      <w:rFonts w:ascii="Arial" w:hAnsi="Arial" w:cs="Arial"/>
      <w:sz w:val="28"/>
      <w:lang w:eastAsia="en-US"/>
    </w:rPr>
  </w:style>
  <w:style w:type="character" w:customStyle="1" w:styleId="Heading6Char">
    <w:name w:val="Heading 6 Char"/>
    <w:link w:val="Heading6"/>
    <w:rsid w:val="00DA2B16"/>
    <w:rPr>
      <w:rFonts w:ascii="Arial" w:hAnsi="Arial" w:cs="Arial"/>
      <w:b/>
      <w:bCs/>
      <w:sz w:val="28"/>
      <w:szCs w:val="24"/>
      <w:lang w:eastAsia="en-US"/>
    </w:rPr>
  </w:style>
  <w:style w:type="character" w:customStyle="1" w:styleId="Heading7Char">
    <w:name w:val="Heading 7 Char"/>
    <w:link w:val="Heading7"/>
    <w:rsid w:val="00DA2B16"/>
    <w:rPr>
      <w:rFonts w:ascii="Arial" w:hAnsi="Arial" w:cs="Arial"/>
      <w:i/>
      <w:iCs/>
      <w:sz w:val="24"/>
      <w:lang w:eastAsia="en-US"/>
    </w:rPr>
  </w:style>
  <w:style w:type="character" w:customStyle="1" w:styleId="Heading8Char">
    <w:name w:val="Heading 8 Char"/>
    <w:link w:val="Heading8"/>
    <w:rsid w:val="00DA2B16"/>
    <w:rPr>
      <w:rFonts w:ascii="Arial" w:hAnsi="Arial" w:cs="Arial"/>
      <w:i/>
      <w:iCs/>
      <w:sz w:val="24"/>
      <w:lang w:eastAsia="en-US"/>
    </w:rPr>
  </w:style>
  <w:style w:type="character" w:customStyle="1" w:styleId="Heading9Char">
    <w:name w:val="Heading 9 Char"/>
    <w:link w:val="Heading9"/>
    <w:rsid w:val="00DA2B16"/>
    <w:rPr>
      <w:rFonts w:ascii="Arial" w:hAnsi="Arial" w:cs="Arial"/>
      <w:sz w:val="24"/>
      <w:lang w:eastAsia="en-US"/>
    </w:rPr>
  </w:style>
  <w:style w:type="paragraph" w:styleId="DocumentMap">
    <w:name w:val="Document Map"/>
    <w:basedOn w:val="Normal"/>
    <w:link w:val="DocumentMapChar"/>
    <w:rsid w:val="00DA2B16"/>
    <w:pPr>
      <w:shd w:val="clear" w:color="auto" w:fill="000080"/>
    </w:pPr>
    <w:rPr>
      <w:rFonts w:ascii="Tahoma" w:hAnsi="Tahoma" w:cs="Tahoma"/>
    </w:rPr>
  </w:style>
  <w:style w:type="character" w:customStyle="1" w:styleId="DocumentMapChar">
    <w:name w:val="Document Map Char"/>
    <w:link w:val="DocumentMap"/>
    <w:rsid w:val="00DA2B16"/>
    <w:rPr>
      <w:rFonts w:ascii="Tahoma" w:hAnsi="Tahoma" w:cs="Tahoma"/>
      <w:sz w:val="24"/>
      <w:shd w:val="clear" w:color="auto" w:fill="000080"/>
      <w:lang w:eastAsia="en-US"/>
    </w:rPr>
  </w:style>
  <w:style w:type="character" w:customStyle="1" w:styleId="Heading3Char">
    <w:name w:val="Heading 3 Char"/>
    <w:rsid w:val="00DA2B16"/>
    <w:rPr>
      <w:rFonts w:ascii="Arial" w:hAnsi="Arial" w:cs="Arial"/>
      <w:b/>
      <w:bCs/>
      <w:i/>
      <w:sz w:val="24"/>
      <w:szCs w:val="28"/>
      <w:lang w:val="en-GB" w:eastAsia="en-US" w:bidi="ar-SA"/>
    </w:rPr>
  </w:style>
  <w:style w:type="paragraph" w:customStyle="1" w:styleId="Style12ptJustified">
    <w:name w:val="Style 12 pt Justified"/>
    <w:basedOn w:val="Normal"/>
    <w:rsid w:val="00DA2B16"/>
  </w:style>
  <w:style w:type="paragraph" w:customStyle="1" w:styleId="Style12ptLinespacing15lines">
    <w:name w:val="Style 12 pt Line spacing:  1.5 lines"/>
    <w:basedOn w:val="Normal"/>
    <w:rsid w:val="00DA2B16"/>
  </w:style>
  <w:style w:type="paragraph" w:customStyle="1" w:styleId="Style12ptJustified1">
    <w:name w:val="Style 12 pt Justified1"/>
    <w:basedOn w:val="Normal"/>
    <w:rsid w:val="00DA2B16"/>
  </w:style>
  <w:style w:type="paragraph" w:customStyle="1" w:styleId="Style12ptJustified2">
    <w:name w:val="Style 12 pt Justified2"/>
    <w:basedOn w:val="Normal"/>
    <w:rsid w:val="00DA2B16"/>
  </w:style>
  <w:style w:type="paragraph" w:customStyle="1" w:styleId="Style12ptJustified3">
    <w:name w:val="Style 12 pt Justified3"/>
    <w:basedOn w:val="Normal"/>
    <w:rsid w:val="00DA2B16"/>
  </w:style>
  <w:style w:type="paragraph" w:customStyle="1" w:styleId="StyleJustified">
    <w:name w:val="Style Justified"/>
    <w:basedOn w:val="Normal"/>
    <w:next w:val="Normal"/>
    <w:rsid w:val="00DA2B16"/>
    <w:rPr>
      <w:szCs w:val="24"/>
    </w:rPr>
  </w:style>
  <w:style w:type="paragraph" w:styleId="BodyTextIndent">
    <w:name w:val="Body Text Indent"/>
    <w:basedOn w:val="Normal"/>
    <w:link w:val="BodyTextIndentChar"/>
    <w:rsid w:val="00DA2B16"/>
    <w:pPr>
      <w:ind w:left="289" w:hanging="5"/>
      <w:jc w:val="both"/>
    </w:pPr>
    <w:rPr>
      <w:rFonts w:cs="Arial"/>
      <w:szCs w:val="22"/>
    </w:rPr>
  </w:style>
  <w:style w:type="character" w:customStyle="1" w:styleId="BodyTextIndentChar">
    <w:name w:val="Body Text Indent Char"/>
    <w:link w:val="BodyTextIndent"/>
    <w:rsid w:val="00DA2B16"/>
    <w:rPr>
      <w:rFonts w:ascii="Arial" w:hAnsi="Arial" w:cs="Arial"/>
      <w:sz w:val="24"/>
      <w:szCs w:val="22"/>
      <w:lang w:eastAsia="en-US"/>
    </w:rPr>
  </w:style>
  <w:style w:type="paragraph" w:customStyle="1" w:styleId="infotext0">
    <w:name w:val="infotext"/>
    <w:basedOn w:val="Normal"/>
    <w:rsid w:val="00DA2B16"/>
    <w:pPr>
      <w:spacing w:before="100" w:beforeAutospacing="1" w:after="100" w:afterAutospacing="1"/>
    </w:pPr>
    <w:rPr>
      <w:rFonts w:ascii="Times New Roman" w:hAnsi="Times New Roman"/>
      <w:szCs w:val="24"/>
      <w:lang w:val="en-US"/>
    </w:rPr>
  </w:style>
  <w:style w:type="paragraph" w:customStyle="1" w:styleId="xl25">
    <w:name w:val="xl25"/>
    <w:basedOn w:val="Normal"/>
    <w:rsid w:val="00DA2B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35">
    <w:name w:val="xl35"/>
    <w:basedOn w:val="Normal"/>
    <w:rsid w:val="00DA2B1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36">
    <w:name w:val="xl36"/>
    <w:basedOn w:val="Normal"/>
    <w:rsid w:val="00DA2B16"/>
    <w:pPr>
      <w:pBdr>
        <w:left w:val="single" w:sz="4" w:space="0" w:color="auto"/>
        <w:right w:val="single" w:sz="4" w:space="0" w:color="auto"/>
      </w:pBdr>
      <w:spacing w:before="100" w:beforeAutospacing="1" w:after="100" w:afterAutospacing="1"/>
    </w:pPr>
    <w:rPr>
      <w:rFonts w:eastAsia="Arial Unicode MS" w:cs="Arial"/>
      <w:szCs w:val="24"/>
    </w:rPr>
  </w:style>
  <w:style w:type="paragraph" w:styleId="BodyText2">
    <w:name w:val="Body Text 2"/>
    <w:basedOn w:val="Normal"/>
    <w:link w:val="BodyText2Char"/>
    <w:rsid w:val="00DA2B16"/>
    <w:pPr>
      <w:spacing w:before="90"/>
      <w:jc w:val="both"/>
    </w:pPr>
    <w:rPr>
      <w:rFonts w:cs="Arial"/>
      <w:sz w:val="20"/>
      <w:szCs w:val="22"/>
    </w:rPr>
  </w:style>
  <w:style w:type="character" w:customStyle="1" w:styleId="BodyText2Char">
    <w:name w:val="Body Text 2 Char"/>
    <w:link w:val="BodyText2"/>
    <w:rsid w:val="00DA2B16"/>
    <w:rPr>
      <w:rFonts w:ascii="Arial" w:hAnsi="Arial" w:cs="Arial"/>
      <w:szCs w:val="22"/>
      <w:lang w:eastAsia="en-US"/>
    </w:rPr>
  </w:style>
  <w:style w:type="paragraph" w:styleId="BodyTextIndent3">
    <w:name w:val="Body Text Indent 3"/>
    <w:basedOn w:val="Normal"/>
    <w:link w:val="BodyTextIndent3Char"/>
    <w:rsid w:val="00DA2B16"/>
    <w:pPr>
      <w:spacing w:after="120"/>
      <w:ind w:left="283"/>
    </w:pPr>
    <w:rPr>
      <w:sz w:val="16"/>
      <w:szCs w:val="16"/>
    </w:rPr>
  </w:style>
  <w:style w:type="character" w:customStyle="1" w:styleId="BodyTextIndent3Char">
    <w:name w:val="Body Text Indent 3 Char"/>
    <w:link w:val="BodyTextIndent3"/>
    <w:rsid w:val="00DA2B16"/>
    <w:rPr>
      <w:rFonts w:ascii="Arial" w:hAnsi="Arial"/>
      <w:sz w:val="16"/>
      <w:szCs w:val="16"/>
      <w:lang w:eastAsia="en-US"/>
    </w:rPr>
  </w:style>
  <w:style w:type="paragraph" w:customStyle="1" w:styleId="CharChar1Char">
    <w:name w:val="Char Char1 Char"/>
    <w:basedOn w:val="Normal"/>
    <w:rsid w:val="00DA2B16"/>
    <w:pPr>
      <w:spacing w:after="160" w:line="240" w:lineRule="exact"/>
    </w:pPr>
    <w:rPr>
      <w:rFonts w:ascii="Tahoma" w:hAnsi="Tahoma"/>
      <w:sz w:val="20"/>
      <w:lang w:eastAsia="en-GB"/>
    </w:rPr>
  </w:style>
  <w:style w:type="paragraph" w:customStyle="1" w:styleId="Pa5">
    <w:name w:val="Pa5"/>
    <w:basedOn w:val="Normal"/>
    <w:next w:val="Normal"/>
    <w:rsid w:val="00DA2B16"/>
    <w:pPr>
      <w:autoSpaceDE w:val="0"/>
      <w:autoSpaceDN w:val="0"/>
      <w:adjustRightInd w:val="0"/>
      <w:spacing w:line="221" w:lineRule="atLeast"/>
    </w:pPr>
    <w:rPr>
      <w:rFonts w:ascii="Bliss 2 Light" w:hAnsi="Bliss 2 Light"/>
      <w:szCs w:val="24"/>
      <w:lang w:val="en-US"/>
    </w:rPr>
  </w:style>
  <w:style w:type="paragraph" w:customStyle="1" w:styleId="Pa6">
    <w:name w:val="Pa6"/>
    <w:basedOn w:val="Normal"/>
    <w:next w:val="Normal"/>
    <w:rsid w:val="00DA2B16"/>
    <w:pPr>
      <w:autoSpaceDE w:val="0"/>
      <w:autoSpaceDN w:val="0"/>
      <w:adjustRightInd w:val="0"/>
      <w:spacing w:line="201" w:lineRule="atLeast"/>
    </w:pPr>
    <w:rPr>
      <w:rFonts w:ascii="Bliss 2 Light" w:hAnsi="Bliss 2 Light"/>
      <w:szCs w:val="24"/>
      <w:lang w:val="en-US"/>
    </w:rPr>
  </w:style>
  <w:style w:type="paragraph" w:customStyle="1" w:styleId="Default">
    <w:name w:val="Default"/>
    <w:rsid w:val="00DA2B16"/>
    <w:pPr>
      <w:widowControl w:val="0"/>
      <w:autoSpaceDE w:val="0"/>
      <w:autoSpaceDN w:val="0"/>
      <w:adjustRightInd w:val="0"/>
    </w:pPr>
    <w:rPr>
      <w:rFonts w:ascii="CPAFB D+ Optima" w:hAnsi="CPAFB D+ Optima"/>
      <w:color w:val="000000"/>
      <w:sz w:val="24"/>
      <w:szCs w:val="24"/>
    </w:rPr>
  </w:style>
  <w:style w:type="paragraph" w:customStyle="1" w:styleId="ChapterHeading">
    <w:name w:val="Chapter Heading"/>
    <w:basedOn w:val="Normal"/>
    <w:link w:val="ChapterHeadingChar"/>
    <w:uiPriority w:val="99"/>
    <w:semiHidden/>
    <w:rsid w:val="00DA2B16"/>
    <w:pPr>
      <w:pageBreakBefore/>
      <w:numPr>
        <w:numId w:val="13"/>
      </w:numPr>
      <w:spacing w:before="120" w:after="120"/>
      <w:jc w:val="both"/>
    </w:pPr>
    <w:rPr>
      <w:rFonts w:ascii="Calibri" w:hAnsi="Calibri" w:cs="Arial"/>
      <w:b/>
      <w:noProof/>
      <w:spacing w:val="-5"/>
      <w:sz w:val="36"/>
      <w:szCs w:val="36"/>
    </w:rPr>
  </w:style>
  <w:style w:type="paragraph" w:customStyle="1" w:styleId="Subheading">
    <w:name w:val="Subheading"/>
    <w:basedOn w:val="BodyText"/>
    <w:uiPriority w:val="99"/>
    <w:semiHidden/>
    <w:rsid w:val="00DA2B16"/>
    <w:pPr>
      <w:numPr>
        <w:ilvl w:val="1"/>
        <w:numId w:val="13"/>
      </w:numPr>
      <w:spacing w:before="270" w:after="180"/>
      <w:ind w:left="360"/>
      <w:jc w:val="both"/>
    </w:pPr>
    <w:rPr>
      <w:b/>
      <w:i w:val="0"/>
      <w:iCs w:val="0"/>
      <w:noProof/>
      <w:sz w:val="22"/>
      <w:szCs w:val="22"/>
    </w:rPr>
  </w:style>
  <w:style w:type="paragraph" w:customStyle="1" w:styleId="subhead">
    <w:name w:val="subhead"/>
    <w:basedOn w:val="Subheading"/>
    <w:link w:val="subheadChar"/>
    <w:uiPriority w:val="99"/>
    <w:rsid w:val="00DA2B16"/>
  </w:style>
  <w:style w:type="paragraph" w:customStyle="1" w:styleId="body">
    <w:name w:val="body"/>
    <w:basedOn w:val="Normal"/>
    <w:link w:val="bodyChar"/>
    <w:rsid w:val="00DA2B16"/>
    <w:pPr>
      <w:jc w:val="both"/>
    </w:pPr>
    <w:rPr>
      <w:rFonts w:cs="Arial"/>
      <w:noProof/>
      <w:spacing w:val="-5"/>
      <w:sz w:val="22"/>
      <w:szCs w:val="22"/>
    </w:rPr>
  </w:style>
  <w:style w:type="character" w:customStyle="1" w:styleId="subheadChar">
    <w:name w:val="subhead Char"/>
    <w:link w:val="subhead"/>
    <w:uiPriority w:val="99"/>
    <w:locked/>
    <w:rsid w:val="00DA2B16"/>
    <w:rPr>
      <w:rFonts w:ascii="Arial" w:hAnsi="Arial" w:cs="Arial"/>
      <w:b/>
      <w:noProof/>
      <w:sz w:val="22"/>
      <w:szCs w:val="22"/>
      <w:lang w:eastAsia="en-US"/>
    </w:rPr>
  </w:style>
  <w:style w:type="character" w:customStyle="1" w:styleId="bodyChar">
    <w:name w:val="body Char"/>
    <w:link w:val="body"/>
    <w:locked/>
    <w:rsid w:val="00DA2B16"/>
    <w:rPr>
      <w:rFonts w:ascii="Arial" w:hAnsi="Arial" w:cs="Arial"/>
      <w:noProof/>
      <w:spacing w:val="-5"/>
      <w:sz w:val="22"/>
      <w:szCs w:val="22"/>
      <w:lang w:eastAsia="en-US"/>
    </w:rPr>
  </w:style>
  <w:style w:type="paragraph" w:customStyle="1" w:styleId="introduction">
    <w:name w:val="introduction"/>
    <w:basedOn w:val="Normal"/>
    <w:rsid w:val="00DA2B16"/>
    <w:pPr>
      <w:spacing w:before="100" w:beforeAutospacing="1" w:after="100" w:afterAutospacing="1"/>
    </w:pPr>
    <w:rPr>
      <w:rFonts w:ascii="Times New Roman" w:hAnsi="Times New Roman"/>
      <w:szCs w:val="24"/>
      <w:lang w:val="en-US"/>
    </w:rPr>
  </w:style>
  <w:style w:type="character" w:customStyle="1" w:styleId="ChapterHeadingChar">
    <w:name w:val="Chapter Heading Char"/>
    <w:link w:val="ChapterHeading"/>
    <w:uiPriority w:val="99"/>
    <w:semiHidden/>
    <w:locked/>
    <w:rsid w:val="00DA2B16"/>
    <w:rPr>
      <w:rFonts w:ascii="Calibri" w:hAnsi="Calibri" w:cs="Arial"/>
      <w:b/>
      <w:noProof/>
      <w:spacing w:val="-5"/>
      <w:sz w:val="36"/>
      <w:szCs w:val="36"/>
      <w:lang w:eastAsia="en-US"/>
    </w:rPr>
  </w:style>
  <w:style w:type="paragraph" w:styleId="Revision">
    <w:name w:val="Revision"/>
    <w:hidden/>
    <w:uiPriority w:val="99"/>
    <w:semiHidden/>
    <w:rsid w:val="00DA2B16"/>
    <w:rPr>
      <w:rFonts w:ascii="Arial" w:hAnsi="Arial"/>
      <w:sz w:val="24"/>
      <w:lang w:eastAsia="en-US"/>
    </w:rPr>
  </w:style>
  <w:style w:type="character" w:styleId="LineNumber">
    <w:name w:val="line number"/>
    <w:basedOn w:val="DefaultParagraphFont"/>
    <w:rsid w:val="001B02EA"/>
  </w:style>
  <w:style w:type="table" w:styleId="TableColumns5">
    <w:name w:val="Table Columns 5"/>
    <w:basedOn w:val="TableNormal"/>
    <w:rsid w:val="00030E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BodyTextChar">
    <w:name w:val="Body Text Char"/>
    <w:link w:val="BodyText"/>
    <w:rsid w:val="00140C7F"/>
    <w:rPr>
      <w:rFonts w:ascii="Arial" w:hAnsi="Arial" w:cs="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0154">
      <w:bodyDiv w:val="1"/>
      <w:marLeft w:val="0"/>
      <w:marRight w:val="0"/>
      <w:marTop w:val="0"/>
      <w:marBottom w:val="0"/>
      <w:divBdr>
        <w:top w:val="none" w:sz="0" w:space="0" w:color="auto"/>
        <w:left w:val="none" w:sz="0" w:space="0" w:color="auto"/>
        <w:bottom w:val="none" w:sz="0" w:space="0" w:color="auto"/>
        <w:right w:val="none" w:sz="0" w:space="0" w:color="auto"/>
      </w:divBdr>
    </w:div>
    <w:div w:id="545875834">
      <w:bodyDiv w:val="1"/>
      <w:marLeft w:val="0"/>
      <w:marRight w:val="0"/>
      <w:marTop w:val="0"/>
      <w:marBottom w:val="0"/>
      <w:divBdr>
        <w:top w:val="none" w:sz="0" w:space="0" w:color="auto"/>
        <w:left w:val="none" w:sz="0" w:space="0" w:color="auto"/>
        <w:bottom w:val="none" w:sz="0" w:space="0" w:color="auto"/>
        <w:right w:val="none" w:sz="0" w:space="0" w:color="auto"/>
      </w:divBdr>
    </w:div>
    <w:div w:id="690380142">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1003706495">
      <w:bodyDiv w:val="1"/>
      <w:marLeft w:val="0"/>
      <w:marRight w:val="0"/>
      <w:marTop w:val="0"/>
      <w:marBottom w:val="0"/>
      <w:divBdr>
        <w:top w:val="none" w:sz="0" w:space="0" w:color="auto"/>
        <w:left w:val="none" w:sz="0" w:space="0" w:color="auto"/>
        <w:bottom w:val="none" w:sz="0" w:space="0" w:color="auto"/>
        <w:right w:val="none" w:sz="0" w:space="0" w:color="auto"/>
      </w:divBdr>
    </w:div>
    <w:div w:id="1005396976">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354841897">
      <w:bodyDiv w:val="1"/>
      <w:marLeft w:val="0"/>
      <w:marRight w:val="0"/>
      <w:marTop w:val="0"/>
      <w:marBottom w:val="0"/>
      <w:divBdr>
        <w:top w:val="none" w:sz="0" w:space="0" w:color="auto"/>
        <w:left w:val="none" w:sz="0" w:space="0" w:color="auto"/>
        <w:bottom w:val="none" w:sz="0" w:space="0" w:color="auto"/>
        <w:right w:val="none" w:sz="0" w:space="0" w:color="auto"/>
      </w:divBdr>
    </w:div>
    <w:div w:id="17363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1.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5.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hyperlink" Target="http://www.legislation.gov.uk/ukpga/2003/26/content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B66B8-C17A-4349-B7BD-675B564F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13344</Words>
  <Characters>72823</Characters>
  <Application>Microsoft Office Word</Application>
  <DocSecurity>0</DocSecurity>
  <Lines>606</Lines>
  <Paragraphs>171</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85996</CharactersWithSpaces>
  <SharedDoc>false</SharedDoc>
  <HLinks>
    <vt:vector size="6" baseType="variant">
      <vt:variant>
        <vt:i4>4522060</vt:i4>
      </vt:variant>
      <vt:variant>
        <vt:i4>0</vt:i4>
      </vt:variant>
      <vt:variant>
        <vt:i4>0</vt:i4>
      </vt:variant>
      <vt:variant>
        <vt:i4>5</vt:i4>
      </vt:variant>
      <vt:variant>
        <vt:lpwstr>http://www.legislation.gov.uk/ukpga/2003/26/contents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mwearing</cp:lastModifiedBy>
  <cp:revision>5</cp:revision>
  <cp:lastPrinted>2018-01-19T16:23:00Z</cp:lastPrinted>
  <dcterms:created xsi:type="dcterms:W3CDTF">2018-01-22T13:14:00Z</dcterms:created>
  <dcterms:modified xsi:type="dcterms:W3CDTF">2018-01-22T14:17:00Z</dcterms:modified>
</cp:coreProperties>
</file>